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29" w:rsidRPr="00213CBE" w:rsidRDefault="00200229" w:rsidP="00200229">
      <w:pPr>
        <w:pStyle w:val="a3"/>
        <w:spacing w:after="200"/>
        <w:jc w:val="center"/>
        <w:rPr>
          <w:szCs w:val="28"/>
        </w:rPr>
      </w:pPr>
      <w:r w:rsidRPr="00213CBE">
        <w:rPr>
          <w:szCs w:val="28"/>
        </w:rPr>
        <w:t>Основные итоги социально-экономического развития</w:t>
      </w:r>
      <w:r w:rsidRPr="00213CBE">
        <w:rPr>
          <w:szCs w:val="28"/>
        </w:rPr>
        <w:br/>
        <w:t>городского округа Тольятти за 2018 год</w:t>
      </w:r>
    </w:p>
    <w:p w:rsidR="00200229" w:rsidRPr="00213CBE" w:rsidRDefault="00200229" w:rsidP="00200229">
      <w:pPr>
        <w:pStyle w:val="a3"/>
        <w:spacing w:after="200"/>
        <w:jc w:val="center"/>
        <w:rPr>
          <w:szCs w:val="28"/>
        </w:rPr>
      </w:pPr>
      <w:r w:rsidRPr="00213CBE">
        <w:rPr>
          <w:szCs w:val="28"/>
        </w:rPr>
        <w:t xml:space="preserve">(размещен в сети Интернет по адресу: </w:t>
      </w:r>
      <w:hyperlink r:id="rId8" w:history="1">
        <w:r w:rsidRPr="00213CBE">
          <w:rPr>
            <w:rStyle w:val="aa"/>
            <w:szCs w:val="28"/>
          </w:rPr>
          <w:t>http://tgl.ru/structure/department/doklad-mera-pered-pravitelstvom-samarskoy-oblasti/</w:t>
        </w:r>
      </w:hyperlink>
      <w:r w:rsidRPr="00213CBE">
        <w:rPr>
          <w:szCs w:val="28"/>
        </w:rPr>
        <w:t>)</w:t>
      </w:r>
    </w:p>
    <w:p w:rsidR="00200229" w:rsidRPr="00213CBE" w:rsidRDefault="00200229" w:rsidP="00200229">
      <w:pPr>
        <w:pStyle w:val="a3"/>
        <w:jc w:val="center"/>
        <w:rPr>
          <w:szCs w:val="28"/>
        </w:rPr>
      </w:pPr>
      <w:r w:rsidRPr="00213CBE">
        <w:rPr>
          <w:szCs w:val="28"/>
        </w:rPr>
        <w:t>Раздел 1. Краткое описание итогов социально-экономического развития муниципального образования по состоянию на конец 201</w:t>
      </w:r>
      <w:r>
        <w:rPr>
          <w:szCs w:val="28"/>
        </w:rPr>
        <w:t>9</w:t>
      </w:r>
      <w:r w:rsidRPr="00213CBE">
        <w:rPr>
          <w:szCs w:val="28"/>
        </w:rPr>
        <w:t xml:space="preserve"> года</w:t>
      </w:r>
    </w:p>
    <w:p w:rsidR="00200229" w:rsidRPr="00213CBE" w:rsidRDefault="00200229" w:rsidP="00200229">
      <w:pPr>
        <w:autoSpaceDE w:val="0"/>
        <w:autoSpaceDN w:val="0"/>
        <w:adjustRightInd w:val="0"/>
        <w:spacing w:line="240" w:lineRule="auto"/>
        <w:ind w:firstLine="0"/>
        <w:rPr>
          <w:rFonts w:ascii="Courier" w:hAnsi="Courier" w:cs="Courier"/>
          <w:sz w:val="22"/>
        </w:rPr>
      </w:pPr>
    </w:p>
    <w:p w:rsidR="00200229" w:rsidRDefault="00200229" w:rsidP="003A4FE9">
      <w:pPr>
        <w:pStyle w:val="a7"/>
        <w:widowControl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200229">
        <w:rPr>
          <w:rFonts w:eastAsia="Times New Roman"/>
          <w:bCs/>
          <w:spacing w:val="2"/>
          <w:szCs w:val="28"/>
          <w:lang w:eastAsia="ar-SA"/>
        </w:rPr>
        <w:t>В 2019 году социально-экономическая ситуация в городском округе Тольятти оставалась стабильной. Вместе с тем, наблюдалось замедление темпов роста в промышленном секторе города по сравнению с высокой базой 2017-2018 годов: индекс производства промышленной продукции по городу за 2019 год в целом составил 99,4% (в 2018 году – 107,1%) за счет сокращения объемов производства в автомобилестроении на 5%. При этом химическое производство увеличилось на 4,3%.</w:t>
      </w:r>
    </w:p>
    <w:p w:rsidR="007956A6" w:rsidRDefault="007956A6" w:rsidP="007956A6">
      <w:pPr>
        <w:pStyle w:val="a7"/>
        <w:widowControl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CE69F2">
        <w:rPr>
          <w:rFonts w:eastAsia="Times New Roman"/>
          <w:bCs/>
          <w:spacing w:val="2"/>
          <w:szCs w:val="28"/>
          <w:lang w:eastAsia="ar-SA"/>
        </w:rPr>
        <w:t>Объем прибыли (до налогообложения, по РСБУ) организаций городского округа Тольятти</w:t>
      </w:r>
      <w:r>
        <w:rPr>
          <w:rFonts w:eastAsia="Times New Roman"/>
          <w:bCs/>
          <w:spacing w:val="2"/>
          <w:szCs w:val="28"/>
          <w:lang w:eastAsia="ar-SA"/>
        </w:rPr>
        <w:t>, не относящихся к субъектам малого предпринимательства,</w:t>
      </w:r>
      <w:r w:rsidRPr="00CE69F2">
        <w:rPr>
          <w:rFonts w:eastAsia="Times New Roman"/>
          <w:bCs/>
          <w:spacing w:val="2"/>
          <w:szCs w:val="28"/>
          <w:lang w:eastAsia="ar-SA"/>
        </w:rPr>
        <w:t xml:space="preserve"> снизился на 1,9% к предыдущему году, при этом убыток убыточных организаций вырос на 60,7%.</w:t>
      </w:r>
    </w:p>
    <w:p w:rsidR="007956A6" w:rsidRPr="00687C0E" w:rsidRDefault="007956A6" w:rsidP="007956A6">
      <w:pPr>
        <w:pStyle w:val="a7"/>
        <w:widowControl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>
        <w:rPr>
          <w:rFonts w:eastAsia="Times New Roman"/>
          <w:bCs/>
          <w:spacing w:val="2"/>
          <w:szCs w:val="28"/>
          <w:lang w:eastAsia="ar-SA"/>
        </w:rPr>
        <w:t>О</w:t>
      </w:r>
      <w:r w:rsidRPr="00687C0E">
        <w:rPr>
          <w:rFonts w:eastAsia="Times New Roman"/>
          <w:bCs/>
          <w:spacing w:val="2"/>
          <w:szCs w:val="28"/>
          <w:lang w:eastAsia="ar-SA"/>
        </w:rPr>
        <w:t xml:space="preserve">бъем инвестиций в основной капитал организаций города </w:t>
      </w:r>
      <w:r>
        <w:rPr>
          <w:rFonts w:eastAsia="Times New Roman"/>
          <w:bCs/>
          <w:spacing w:val="2"/>
          <w:szCs w:val="28"/>
          <w:lang w:eastAsia="ar-SA"/>
        </w:rPr>
        <w:t xml:space="preserve">в 2019 году </w:t>
      </w:r>
      <w:r w:rsidRPr="00687C0E">
        <w:rPr>
          <w:rFonts w:eastAsia="Times New Roman"/>
          <w:bCs/>
          <w:spacing w:val="2"/>
          <w:szCs w:val="28"/>
          <w:lang w:eastAsia="ar-SA"/>
        </w:rPr>
        <w:t xml:space="preserve">вырос на 23,4% и составил 34 655,3 млн. руб. Объем введенного жилья (с учетом ИЖС) увеличился на 14,8% и составил 176,4 </w:t>
      </w:r>
      <w:proofErr w:type="spellStart"/>
      <w:r w:rsidRPr="00687C0E">
        <w:rPr>
          <w:rFonts w:eastAsia="Times New Roman"/>
          <w:bCs/>
          <w:spacing w:val="2"/>
          <w:szCs w:val="28"/>
          <w:lang w:eastAsia="ar-SA"/>
        </w:rPr>
        <w:t>тыс.кв.м</w:t>
      </w:r>
      <w:proofErr w:type="spellEnd"/>
      <w:r w:rsidRPr="00687C0E">
        <w:rPr>
          <w:rFonts w:eastAsia="Times New Roman"/>
          <w:bCs/>
          <w:spacing w:val="2"/>
          <w:szCs w:val="28"/>
          <w:lang w:eastAsia="ar-SA"/>
        </w:rPr>
        <w:t>.</w:t>
      </w:r>
    </w:p>
    <w:p w:rsidR="00687C0E" w:rsidRPr="00E514FD" w:rsidRDefault="007956A6" w:rsidP="007B5583">
      <w:pPr>
        <w:pStyle w:val="a7"/>
        <w:widowControl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E514FD">
        <w:rPr>
          <w:rFonts w:eastAsia="Times New Roman"/>
          <w:bCs/>
          <w:spacing w:val="2"/>
          <w:szCs w:val="28"/>
          <w:lang w:eastAsia="ar-SA"/>
        </w:rPr>
        <w:t xml:space="preserve">Ситуация на рынке труда оставалась стабильной. </w:t>
      </w:r>
      <w:r w:rsidR="00096238" w:rsidRPr="00E514FD">
        <w:rPr>
          <w:rFonts w:eastAsia="Times New Roman"/>
          <w:bCs/>
          <w:spacing w:val="2"/>
          <w:szCs w:val="28"/>
          <w:lang w:eastAsia="ar-SA"/>
        </w:rPr>
        <w:t>П</w:t>
      </w:r>
      <w:r w:rsidR="00200229" w:rsidRPr="00E514FD">
        <w:rPr>
          <w:rFonts w:eastAsia="Times New Roman"/>
          <w:bCs/>
          <w:spacing w:val="2"/>
          <w:szCs w:val="28"/>
          <w:lang w:eastAsia="ar-SA"/>
        </w:rPr>
        <w:t xml:space="preserve">о состоянию на 31 декабря 2019 года </w:t>
      </w:r>
      <w:r w:rsidR="00E514FD">
        <w:rPr>
          <w:rFonts w:eastAsia="Times New Roman"/>
          <w:bCs/>
          <w:spacing w:val="2"/>
          <w:szCs w:val="28"/>
          <w:lang w:eastAsia="ar-SA"/>
        </w:rPr>
        <w:t>у</w:t>
      </w:r>
      <w:r w:rsidR="00200229" w:rsidRPr="00E514FD">
        <w:rPr>
          <w:rFonts w:eastAsia="Times New Roman"/>
          <w:bCs/>
          <w:spacing w:val="2"/>
          <w:szCs w:val="28"/>
          <w:lang w:eastAsia="ar-SA"/>
        </w:rPr>
        <w:t xml:space="preserve">ровень безработицы относительно населения трудоспособного возраста остался на уровне </w:t>
      </w:r>
      <w:r w:rsidR="00E514FD">
        <w:rPr>
          <w:rFonts w:eastAsia="Times New Roman"/>
          <w:bCs/>
          <w:spacing w:val="2"/>
          <w:szCs w:val="28"/>
          <w:lang w:eastAsia="ar-SA"/>
        </w:rPr>
        <w:t xml:space="preserve">предыдущего года </w:t>
      </w:r>
      <w:r w:rsidR="00200229" w:rsidRPr="00E514FD">
        <w:rPr>
          <w:rFonts w:eastAsia="Times New Roman"/>
          <w:bCs/>
          <w:spacing w:val="2"/>
          <w:szCs w:val="28"/>
          <w:lang w:eastAsia="ar-SA"/>
        </w:rPr>
        <w:t>- 0,8%.</w:t>
      </w:r>
      <w:r w:rsidR="00E514FD" w:rsidRPr="00E514FD">
        <w:rPr>
          <w:rFonts w:eastAsia="Times New Roman"/>
          <w:bCs/>
          <w:spacing w:val="2"/>
          <w:szCs w:val="28"/>
          <w:lang w:eastAsia="ar-SA"/>
        </w:rPr>
        <w:t xml:space="preserve"> </w:t>
      </w:r>
      <w:r w:rsidR="00687C0E" w:rsidRPr="00E514FD">
        <w:rPr>
          <w:rFonts w:eastAsia="Times New Roman"/>
          <w:bCs/>
          <w:spacing w:val="2"/>
          <w:szCs w:val="28"/>
          <w:lang w:eastAsia="ar-SA"/>
        </w:rPr>
        <w:t>В 2019 году в организациях, не относящихся к субъектам малого предпринимательства, создано 2785 новых рабочих мест</w:t>
      </w:r>
      <w:r w:rsidR="00E514FD">
        <w:rPr>
          <w:rFonts w:eastAsia="Times New Roman"/>
          <w:bCs/>
          <w:spacing w:val="2"/>
          <w:szCs w:val="28"/>
          <w:lang w:eastAsia="ar-SA"/>
        </w:rPr>
        <w:t xml:space="preserve"> (в 2,2 раза больше 2018 года)</w:t>
      </w:r>
      <w:r w:rsidR="00687C0E" w:rsidRPr="00E514FD">
        <w:rPr>
          <w:rFonts w:eastAsia="Times New Roman"/>
          <w:bCs/>
          <w:spacing w:val="2"/>
          <w:szCs w:val="28"/>
          <w:lang w:eastAsia="ar-SA"/>
        </w:rPr>
        <w:t>, зарегистрировано 3604 новых индивидуальных предпринимателей</w:t>
      </w:r>
      <w:r w:rsidR="00326418">
        <w:rPr>
          <w:rFonts w:eastAsia="Times New Roman"/>
          <w:bCs/>
          <w:spacing w:val="2"/>
          <w:szCs w:val="28"/>
          <w:lang w:eastAsia="ar-SA"/>
        </w:rPr>
        <w:t xml:space="preserve"> (на 8% больше 2018 года)</w:t>
      </w:r>
      <w:r w:rsidR="00687C0E" w:rsidRPr="00E514FD">
        <w:rPr>
          <w:rFonts w:eastAsia="Times New Roman"/>
          <w:bCs/>
          <w:spacing w:val="2"/>
          <w:szCs w:val="28"/>
          <w:lang w:eastAsia="ar-SA"/>
        </w:rPr>
        <w:t>, на временные рабочие места трудоустроено 3308 человек</w:t>
      </w:r>
      <w:r w:rsidR="00326418">
        <w:rPr>
          <w:rFonts w:eastAsia="Times New Roman"/>
          <w:bCs/>
          <w:spacing w:val="2"/>
          <w:szCs w:val="28"/>
          <w:lang w:eastAsia="ar-SA"/>
        </w:rPr>
        <w:t xml:space="preserve"> (на 14,7% больше 2018 года)</w:t>
      </w:r>
      <w:r w:rsidR="00687C0E" w:rsidRPr="00E514FD">
        <w:rPr>
          <w:rFonts w:eastAsia="Times New Roman"/>
          <w:bCs/>
          <w:spacing w:val="2"/>
          <w:szCs w:val="28"/>
          <w:lang w:eastAsia="ar-SA"/>
        </w:rPr>
        <w:t xml:space="preserve">. </w:t>
      </w:r>
    </w:p>
    <w:p w:rsidR="00687C0E" w:rsidRDefault="00687C0E" w:rsidP="00687C0E">
      <w:pPr>
        <w:pStyle w:val="a7"/>
        <w:widowControl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687C0E">
        <w:rPr>
          <w:rFonts w:eastAsia="Times New Roman"/>
          <w:bCs/>
          <w:spacing w:val="2"/>
          <w:szCs w:val="28"/>
          <w:lang w:eastAsia="ar-SA"/>
        </w:rPr>
        <w:t xml:space="preserve">Заработная плата работников организаций, не относящихся к субъектам малого предпринимательства, выросла на 6,4% (в реальном </w:t>
      </w:r>
      <w:r w:rsidRPr="00687C0E">
        <w:rPr>
          <w:rFonts w:eastAsia="Times New Roman"/>
          <w:bCs/>
          <w:spacing w:val="2"/>
          <w:szCs w:val="28"/>
          <w:lang w:eastAsia="ar-SA"/>
        </w:rPr>
        <w:lastRenderedPageBreak/>
        <w:t>исчислении - на 1,8%) и составила 40,2 тыс. руб., оборот розничной торговли за 2019 год увеличился на 4,5% до 184 748,5 млн. руб.</w:t>
      </w:r>
    </w:p>
    <w:p w:rsidR="007956A6" w:rsidRPr="00687C0E" w:rsidRDefault="007956A6" w:rsidP="007956A6">
      <w:pPr>
        <w:pStyle w:val="a7"/>
        <w:widowControl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687C0E">
        <w:rPr>
          <w:rFonts w:eastAsia="Times New Roman"/>
          <w:bCs/>
          <w:spacing w:val="2"/>
          <w:szCs w:val="28"/>
          <w:lang w:eastAsia="ar-SA"/>
        </w:rPr>
        <w:t xml:space="preserve">Численность населения города по состоянию на 1 января 2020 года снизилась на 3,5 тыс. чел. до 699,4 тыс. чел. за счет сохранения в городе миграционной и естественной убыли. При этом миграционная убыль относительно 2018 года снизилась в 2 раза и составила 1,6 тыс. чел. (за 2018 год – 3,1 тыс. чел.). </w:t>
      </w:r>
    </w:p>
    <w:p w:rsidR="00096238" w:rsidRPr="00096238" w:rsidRDefault="00096238" w:rsidP="00096238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096238">
        <w:rPr>
          <w:rFonts w:eastAsia="Times New Roman"/>
          <w:bCs/>
          <w:spacing w:val="2"/>
          <w:szCs w:val="28"/>
          <w:lang w:eastAsia="ar-SA"/>
        </w:rPr>
        <w:t>В бюджетной сфере за 2019 год доходы бюджета городского округа Тольятти выросли по сравнению с предыдущим годом на 13,2% до                    14 669 444 тыс. руб., в том числе за счёт роста налоговых и неналоговых доходов на 4,4%, за счёт безвозмездных поступлений - на 22,4%.</w:t>
      </w:r>
    </w:p>
    <w:p w:rsidR="00096238" w:rsidRPr="00096238" w:rsidRDefault="00096238" w:rsidP="00096238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096238">
        <w:rPr>
          <w:rFonts w:eastAsia="Times New Roman"/>
          <w:bCs/>
          <w:spacing w:val="2"/>
          <w:szCs w:val="28"/>
          <w:lang w:eastAsia="ar-SA"/>
        </w:rPr>
        <w:t>Расходы бюджета увеличились на 9,7% до 14 451 837 тыс. руб., в том числе расходы местного бюджета сократились на 3,7%, расходы средств вышестоящих бюджетов выросли на 25</w:t>
      </w:r>
      <w:r w:rsidR="00E514FD">
        <w:rPr>
          <w:rFonts w:eastAsia="Times New Roman"/>
          <w:bCs/>
          <w:spacing w:val="2"/>
          <w:szCs w:val="28"/>
          <w:lang w:eastAsia="ar-SA"/>
        </w:rPr>
        <w:t>,0</w:t>
      </w:r>
      <w:r w:rsidRPr="00096238">
        <w:rPr>
          <w:rFonts w:eastAsia="Times New Roman"/>
          <w:bCs/>
          <w:spacing w:val="2"/>
          <w:szCs w:val="28"/>
          <w:lang w:eastAsia="ar-SA"/>
        </w:rPr>
        <w:t>%.</w:t>
      </w:r>
    </w:p>
    <w:p w:rsidR="00096238" w:rsidRPr="00096238" w:rsidRDefault="00096238" w:rsidP="00096238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096238">
        <w:rPr>
          <w:rFonts w:eastAsia="Times New Roman"/>
          <w:bCs/>
          <w:spacing w:val="2"/>
          <w:szCs w:val="28"/>
          <w:lang w:eastAsia="ar-SA"/>
        </w:rPr>
        <w:t xml:space="preserve">Бюджет городского округа Тольятти за 2019 год исполнен с профицитом в сумме 217 607 тыс. руб., при плановом дефиците 260 664 тыс. руб. </w:t>
      </w:r>
    </w:p>
    <w:p w:rsidR="00096238" w:rsidRPr="00096238" w:rsidRDefault="00096238" w:rsidP="00096238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096238">
        <w:rPr>
          <w:rFonts w:eastAsia="Times New Roman"/>
          <w:bCs/>
          <w:spacing w:val="2"/>
          <w:szCs w:val="28"/>
          <w:lang w:eastAsia="ar-SA"/>
        </w:rPr>
        <w:t xml:space="preserve">Уровень долговой нагрузки на бюджет городского округа Тольятти по сравнению с 2018 годом снизился на 6,6%, за счёт роста налоговых и неналоговых доходов на 289 509 тыс. руб. и снижением муниципального долга на 145 018 тыс. руб. </w:t>
      </w:r>
    </w:p>
    <w:p w:rsidR="00A463A3" w:rsidRPr="00A463A3" w:rsidRDefault="00096238" w:rsidP="00A463A3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>
        <w:rPr>
          <w:rFonts w:eastAsia="Times New Roman"/>
          <w:bCs/>
          <w:spacing w:val="2"/>
          <w:szCs w:val="28"/>
          <w:lang w:eastAsia="ar-SA"/>
        </w:rPr>
        <w:t xml:space="preserve">В 2019 году </w:t>
      </w:r>
      <w:r w:rsidR="00A463A3">
        <w:rPr>
          <w:rFonts w:eastAsia="Times New Roman"/>
          <w:bCs/>
          <w:spacing w:val="2"/>
          <w:szCs w:val="28"/>
          <w:lang w:eastAsia="ar-SA"/>
        </w:rPr>
        <w:t xml:space="preserve">утверждены </w:t>
      </w:r>
      <w:r w:rsidR="00A463A3" w:rsidRPr="00A463A3">
        <w:rPr>
          <w:rFonts w:eastAsia="Times New Roman"/>
          <w:bCs/>
          <w:spacing w:val="2"/>
          <w:szCs w:val="28"/>
          <w:lang w:eastAsia="ar-SA"/>
        </w:rPr>
        <w:t>Стратегия социально-экономического развития городского округа Тольятти на период до 2030 года и План мероприятий на 2019-2024 годы по реализации Стратегии социально-экономического развития городского округа Тольятти на период до 2030 года (далее</w:t>
      </w:r>
      <w:r w:rsidR="006D3717">
        <w:rPr>
          <w:rFonts w:eastAsia="Times New Roman"/>
          <w:bCs/>
          <w:spacing w:val="2"/>
          <w:szCs w:val="28"/>
          <w:lang w:eastAsia="ar-SA"/>
        </w:rPr>
        <w:t xml:space="preserve"> </w:t>
      </w:r>
      <w:r w:rsidR="00A463A3" w:rsidRPr="00A463A3">
        <w:rPr>
          <w:rFonts w:eastAsia="Times New Roman"/>
          <w:bCs/>
          <w:spacing w:val="2"/>
          <w:szCs w:val="28"/>
          <w:lang w:eastAsia="ar-SA"/>
        </w:rPr>
        <w:t>– План мероприятий).</w:t>
      </w:r>
    </w:p>
    <w:p w:rsidR="00A463A3" w:rsidRPr="00A463A3" w:rsidRDefault="00A463A3" w:rsidP="00A463A3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A463A3">
        <w:rPr>
          <w:rFonts w:eastAsia="Times New Roman"/>
          <w:bCs/>
          <w:spacing w:val="2"/>
          <w:szCs w:val="28"/>
          <w:lang w:eastAsia="ar-SA"/>
        </w:rPr>
        <w:t>Реализация Плана мероприятий в 2019 году осуществлялась по всем 7-ми приоритетным направлениям развития городского округа Тольятти, предусмотренным</w:t>
      </w:r>
      <w:r>
        <w:rPr>
          <w:rFonts w:eastAsia="Times New Roman"/>
          <w:bCs/>
          <w:spacing w:val="2"/>
          <w:szCs w:val="28"/>
          <w:lang w:eastAsia="ar-SA"/>
        </w:rPr>
        <w:t xml:space="preserve"> через решение </w:t>
      </w:r>
      <w:r w:rsidRPr="00A463A3">
        <w:rPr>
          <w:rFonts w:eastAsia="Times New Roman"/>
          <w:bCs/>
          <w:spacing w:val="2"/>
          <w:szCs w:val="28"/>
          <w:lang w:eastAsia="ar-SA"/>
        </w:rPr>
        <w:t xml:space="preserve">51-й стратегической задачи, в том числе: </w:t>
      </w:r>
    </w:p>
    <w:p w:rsidR="00A463A3" w:rsidRPr="00A463A3" w:rsidRDefault="00A463A3" w:rsidP="00A463A3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A463A3">
        <w:rPr>
          <w:rFonts w:eastAsia="Times New Roman"/>
          <w:bCs/>
          <w:spacing w:val="2"/>
          <w:szCs w:val="28"/>
          <w:lang w:eastAsia="ar-SA"/>
        </w:rPr>
        <w:t>по приоритету (1) «</w:t>
      </w:r>
      <w:proofErr w:type="spellStart"/>
      <w:r w:rsidRPr="00A463A3">
        <w:rPr>
          <w:rFonts w:eastAsia="Times New Roman"/>
          <w:bCs/>
          <w:spacing w:val="2"/>
          <w:szCs w:val="28"/>
          <w:lang w:eastAsia="ar-SA"/>
        </w:rPr>
        <w:t>Экогород</w:t>
      </w:r>
      <w:proofErr w:type="spellEnd"/>
      <w:r w:rsidRPr="00A463A3">
        <w:rPr>
          <w:rFonts w:eastAsia="Times New Roman"/>
          <w:bCs/>
          <w:spacing w:val="2"/>
          <w:szCs w:val="28"/>
          <w:lang w:eastAsia="ar-SA"/>
        </w:rPr>
        <w:t>» - 5 задач;</w:t>
      </w:r>
    </w:p>
    <w:p w:rsidR="00A463A3" w:rsidRPr="00A463A3" w:rsidRDefault="00A463A3" w:rsidP="00A463A3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A463A3">
        <w:rPr>
          <w:rFonts w:eastAsia="Times New Roman"/>
          <w:bCs/>
          <w:spacing w:val="2"/>
          <w:szCs w:val="28"/>
          <w:lang w:eastAsia="ar-SA"/>
        </w:rPr>
        <w:lastRenderedPageBreak/>
        <w:t>по приоритету (2) «Человеческий потенциал» - 10 задач;</w:t>
      </w:r>
    </w:p>
    <w:p w:rsidR="00A463A3" w:rsidRPr="00A463A3" w:rsidRDefault="00A463A3" w:rsidP="00A463A3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A463A3">
        <w:rPr>
          <w:rFonts w:eastAsia="Times New Roman"/>
          <w:bCs/>
          <w:spacing w:val="2"/>
          <w:szCs w:val="28"/>
          <w:lang w:eastAsia="ar-SA"/>
        </w:rPr>
        <w:t>по приоритету (3) «Городское сообщество и идентичность» - 8 задач;</w:t>
      </w:r>
    </w:p>
    <w:p w:rsidR="00A463A3" w:rsidRPr="00A463A3" w:rsidRDefault="00A463A3" w:rsidP="00A463A3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A463A3">
        <w:rPr>
          <w:rFonts w:eastAsia="Times New Roman"/>
          <w:bCs/>
          <w:spacing w:val="2"/>
          <w:szCs w:val="28"/>
          <w:lang w:eastAsia="ar-SA"/>
        </w:rPr>
        <w:t>по приоритету (4) «Возможности для каждого» - 8 задач;</w:t>
      </w:r>
    </w:p>
    <w:p w:rsidR="00A463A3" w:rsidRPr="00A463A3" w:rsidRDefault="00A463A3" w:rsidP="00A463A3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A463A3">
        <w:rPr>
          <w:rFonts w:eastAsia="Times New Roman"/>
          <w:bCs/>
          <w:spacing w:val="2"/>
          <w:szCs w:val="28"/>
          <w:lang w:eastAsia="ar-SA"/>
        </w:rPr>
        <w:t>по приоритету (5) «Город больших проектов» - 8 задач;</w:t>
      </w:r>
    </w:p>
    <w:p w:rsidR="00A463A3" w:rsidRPr="00A463A3" w:rsidRDefault="00A463A3" w:rsidP="00A463A3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A463A3">
        <w:rPr>
          <w:rFonts w:eastAsia="Times New Roman"/>
          <w:bCs/>
          <w:spacing w:val="2"/>
          <w:szCs w:val="28"/>
          <w:lang w:eastAsia="ar-SA"/>
        </w:rPr>
        <w:t>по приоритету (6) «Город жизни» - 7 задач;</w:t>
      </w:r>
    </w:p>
    <w:p w:rsidR="00A463A3" w:rsidRPr="00A463A3" w:rsidRDefault="00A463A3" w:rsidP="00A463A3">
      <w:pPr>
        <w:pStyle w:val="a7"/>
        <w:numPr>
          <w:ilvl w:val="0"/>
          <w:numId w:val="2"/>
        </w:numPr>
        <w:tabs>
          <w:tab w:val="clear" w:pos="432"/>
          <w:tab w:val="num" w:pos="0"/>
          <w:tab w:val="left" w:pos="142"/>
          <w:tab w:val="left" w:pos="9720"/>
        </w:tabs>
        <w:ind w:left="0" w:right="-1" w:firstLine="709"/>
        <w:contextualSpacing w:val="0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A463A3">
        <w:rPr>
          <w:rFonts w:eastAsia="Times New Roman"/>
          <w:bCs/>
          <w:spacing w:val="2"/>
          <w:szCs w:val="28"/>
          <w:lang w:eastAsia="ar-SA"/>
        </w:rPr>
        <w:t>по приоритету (7) «Тольятти мобильный» - 5 задач.</w:t>
      </w:r>
    </w:p>
    <w:p w:rsidR="007972E9" w:rsidRPr="00640E14" w:rsidRDefault="00640E14" w:rsidP="00F847A5">
      <w:pPr>
        <w:pStyle w:val="a7"/>
        <w:widowControl/>
        <w:numPr>
          <w:ilvl w:val="0"/>
          <w:numId w:val="2"/>
        </w:numPr>
        <w:tabs>
          <w:tab w:val="clear" w:pos="432"/>
          <w:tab w:val="num" w:pos="0"/>
        </w:tabs>
        <w:ind w:left="0" w:firstLine="709"/>
        <w:contextualSpacing w:val="0"/>
        <w:rPr>
          <w:color w:val="000000"/>
          <w:szCs w:val="28"/>
        </w:rPr>
      </w:pPr>
      <w:r w:rsidRPr="00640E14">
        <w:rPr>
          <w:rFonts w:eastAsia="Times New Roman"/>
          <w:bCs/>
          <w:spacing w:val="2"/>
          <w:szCs w:val="28"/>
          <w:lang w:eastAsia="ar-SA"/>
        </w:rPr>
        <w:t>Особое внимание в 2019 году уделялось реализации мероприятий,</w:t>
      </w:r>
      <w:r w:rsidR="007972E9" w:rsidRPr="00640E14">
        <w:rPr>
          <w:color w:val="000000"/>
          <w:szCs w:val="28"/>
        </w:rPr>
        <w:t xml:space="preserve"> направленных на достижение целей и задач, поставленных в рамках </w:t>
      </w:r>
      <w:r w:rsidRPr="00640E14">
        <w:rPr>
          <w:color w:val="000000"/>
          <w:szCs w:val="28"/>
        </w:rPr>
        <w:t xml:space="preserve">региональных составляющих </w:t>
      </w:r>
      <w:r w:rsidR="007972E9" w:rsidRPr="00640E14">
        <w:rPr>
          <w:color w:val="000000"/>
          <w:szCs w:val="28"/>
        </w:rPr>
        <w:t>национальных проектов.</w:t>
      </w:r>
    </w:p>
    <w:p w:rsidR="007972E9" w:rsidRPr="00513D04" w:rsidRDefault="007972E9" w:rsidP="00613E32">
      <w:pPr>
        <w:pStyle w:val="a7"/>
        <w:widowControl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color w:val="000000"/>
          <w:szCs w:val="28"/>
        </w:rPr>
      </w:pPr>
      <w:r w:rsidRPr="00513D04">
        <w:rPr>
          <w:color w:val="000000"/>
          <w:szCs w:val="28"/>
        </w:rPr>
        <w:t>В 2019 году в администрации городского округа Тольятти создан Проектный офис по координации национальных проектов, назначены ответственные лица, согласованы целевые показатели, разработаны и реализуются мероприятия.</w:t>
      </w:r>
    </w:p>
    <w:p w:rsidR="007972E9" w:rsidRPr="00513D04" w:rsidRDefault="007972E9" w:rsidP="00613E32">
      <w:pPr>
        <w:pStyle w:val="a7"/>
        <w:widowControl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color w:val="000000"/>
          <w:szCs w:val="28"/>
        </w:rPr>
      </w:pPr>
      <w:r w:rsidRPr="00513D04">
        <w:rPr>
          <w:color w:val="000000"/>
          <w:szCs w:val="28"/>
        </w:rPr>
        <w:t>Мероприятия национальных проектов направлены на решение наиболее острых вопросов, в том числе по повышению конкурентоспособности экономики, качества жизни граждан и улучшения демографии.</w:t>
      </w:r>
    </w:p>
    <w:p w:rsidR="00613E32" w:rsidRPr="007956A6" w:rsidRDefault="00613E32" w:rsidP="00613E32">
      <w:pPr>
        <w:pStyle w:val="a7"/>
        <w:widowControl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color w:val="000000"/>
          <w:szCs w:val="28"/>
        </w:rPr>
      </w:pPr>
      <w:r w:rsidRPr="00513D04">
        <w:rPr>
          <w:color w:val="000000"/>
          <w:szCs w:val="28"/>
        </w:rPr>
        <w:t>По каждому национальному проекту в 2019 году были утверждены паспорта. Общее количество целевых показателей национальных проектов – 72</w:t>
      </w:r>
      <w:r w:rsidR="00687C0E">
        <w:rPr>
          <w:color w:val="000000"/>
          <w:szCs w:val="28"/>
        </w:rPr>
        <w:t xml:space="preserve"> ед.</w:t>
      </w:r>
      <w:r w:rsidRPr="00513D04">
        <w:rPr>
          <w:color w:val="000000"/>
          <w:szCs w:val="28"/>
        </w:rPr>
        <w:t xml:space="preserve"> В 2019 году перевыполнен </w:t>
      </w:r>
      <w:r w:rsidR="00172F4B">
        <w:rPr>
          <w:color w:val="000000"/>
          <w:szCs w:val="28"/>
        </w:rPr>
        <w:t>41</w:t>
      </w:r>
      <w:r w:rsidRPr="00513D04">
        <w:rPr>
          <w:color w:val="000000"/>
          <w:szCs w:val="28"/>
        </w:rPr>
        <w:t xml:space="preserve"> целев</w:t>
      </w:r>
      <w:r w:rsidR="00172F4B">
        <w:rPr>
          <w:color w:val="000000"/>
          <w:szCs w:val="28"/>
        </w:rPr>
        <w:t>ой</w:t>
      </w:r>
      <w:r w:rsidRPr="00513D04">
        <w:rPr>
          <w:color w:val="000000"/>
          <w:szCs w:val="28"/>
        </w:rPr>
        <w:t xml:space="preserve"> показател</w:t>
      </w:r>
      <w:r w:rsidR="00172F4B">
        <w:rPr>
          <w:color w:val="000000"/>
          <w:szCs w:val="28"/>
        </w:rPr>
        <w:t>ь</w:t>
      </w:r>
      <w:r w:rsidRPr="00513D04">
        <w:rPr>
          <w:color w:val="000000"/>
          <w:szCs w:val="28"/>
        </w:rPr>
        <w:t xml:space="preserve">, что составляет </w:t>
      </w:r>
      <w:r w:rsidR="00172F4B">
        <w:rPr>
          <w:color w:val="000000"/>
          <w:szCs w:val="28"/>
        </w:rPr>
        <w:t>56,9</w:t>
      </w:r>
      <w:r w:rsidRPr="00513D04">
        <w:rPr>
          <w:color w:val="000000"/>
          <w:szCs w:val="28"/>
        </w:rPr>
        <w:t>% от общего числа показателей.  На 100,0% выполнено 29 целевых показателей</w:t>
      </w:r>
      <w:r w:rsidR="00200229">
        <w:rPr>
          <w:color w:val="000000"/>
          <w:szCs w:val="28"/>
        </w:rPr>
        <w:t xml:space="preserve"> </w:t>
      </w:r>
      <w:r w:rsidRPr="00513D04">
        <w:rPr>
          <w:color w:val="000000"/>
          <w:szCs w:val="28"/>
        </w:rPr>
        <w:t xml:space="preserve">(40,3%). Выполнение от </w:t>
      </w:r>
      <w:r w:rsidRPr="007956A6">
        <w:rPr>
          <w:color w:val="000000"/>
          <w:szCs w:val="28"/>
        </w:rPr>
        <w:t xml:space="preserve">51% до 75% составило по </w:t>
      </w:r>
      <w:r w:rsidR="00172F4B">
        <w:rPr>
          <w:color w:val="000000"/>
          <w:szCs w:val="28"/>
        </w:rPr>
        <w:t>2</w:t>
      </w:r>
      <w:r w:rsidRPr="007956A6">
        <w:rPr>
          <w:color w:val="000000"/>
          <w:szCs w:val="28"/>
        </w:rPr>
        <w:t xml:space="preserve"> показател</w:t>
      </w:r>
      <w:r w:rsidR="00172F4B">
        <w:rPr>
          <w:color w:val="000000"/>
          <w:szCs w:val="28"/>
        </w:rPr>
        <w:t>ям</w:t>
      </w:r>
      <w:r w:rsidRPr="007956A6">
        <w:rPr>
          <w:color w:val="000000"/>
          <w:szCs w:val="28"/>
        </w:rPr>
        <w:t xml:space="preserve"> (</w:t>
      </w:r>
      <w:r w:rsidR="00172F4B">
        <w:rPr>
          <w:color w:val="000000"/>
          <w:szCs w:val="28"/>
        </w:rPr>
        <w:t>2,78</w:t>
      </w:r>
      <w:r w:rsidRPr="007956A6">
        <w:rPr>
          <w:color w:val="000000"/>
          <w:szCs w:val="28"/>
        </w:rPr>
        <w:t xml:space="preserve">% </w:t>
      </w:r>
      <w:r w:rsidRPr="00513D04">
        <w:rPr>
          <w:color w:val="000000"/>
          <w:szCs w:val="28"/>
        </w:rPr>
        <w:t xml:space="preserve">от общего числа показателей). </w:t>
      </w:r>
    </w:p>
    <w:p w:rsidR="00A82822" w:rsidRPr="007956A6" w:rsidRDefault="00A82822" w:rsidP="00E41C83">
      <w:pPr>
        <w:pStyle w:val="a7"/>
        <w:widowControl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color w:val="000000"/>
          <w:szCs w:val="28"/>
        </w:rPr>
      </w:pPr>
      <w:r w:rsidRPr="00513D04">
        <w:rPr>
          <w:color w:val="000000"/>
          <w:szCs w:val="28"/>
        </w:rPr>
        <w:t>П</w:t>
      </w:r>
      <w:r w:rsidR="00121D61" w:rsidRPr="007956A6">
        <w:rPr>
          <w:color w:val="000000"/>
          <w:szCs w:val="28"/>
        </w:rPr>
        <w:t>родолжилась активная</w:t>
      </w:r>
      <w:r w:rsidRPr="007956A6">
        <w:rPr>
          <w:color w:val="000000"/>
          <w:szCs w:val="28"/>
        </w:rPr>
        <w:t xml:space="preserve"> работа</w:t>
      </w:r>
      <w:r w:rsidR="00121D61" w:rsidRPr="007956A6">
        <w:rPr>
          <w:color w:val="000000"/>
          <w:szCs w:val="28"/>
        </w:rPr>
        <w:t xml:space="preserve"> по привлечению потенциальных резидентов Территории опережающего социально-экономического развития (далее - ТОСЭР), статус которой городу присвоен в сентябре 2016 года. </w:t>
      </w:r>
      <w:r w:rsidRPr="007956A6">
        <w:rPr>
          <w:color w:val="000000"/>
          <w:szCs w:val="28"/>
        </w:rPr>
        <w:t xml:space="preserve">В 2019 году подписаны соглашения об осуществлении деятельности с 35 компаниями, всего по состоянию 1 января 2020 года осуществляют деятельность 75 резидентов ТОСЭР, которыми, к концу 2026 года, запланировано создание около 8,5 тыс. новых рабочих мест и вложение инвестиций в размере около 41 </w:t>
      </w:r>
      <w:proofErr w:type="spellStart"/>
      <w:r w:rsidRPr="007956A6">
        <w:rPr>
          <w:color w:val="000000"/>
          <w:szCs w:val="28"/>
        </w:rPr>
        <w:t>млрд.руб</w:t>
      </w:r>
      <w:proofErr w:type="spellEnd"/>
      <w:r w:rsidRPr="007956A6">
        <w:rPr>
          <w:color w:val="000000"/>
          <w:szCs w:val="28"/>
        </w:rPr>
        <w:t xml:space="preserve">. (с учетом НДС). За весь период </w:t>
      </w:r>
      <w:r w:rsidRPr="007956A6">
        <w:rPr>
          <w:color w:val="000000"/>
          <w:szCs w:val="28"/>
        </w:rPr>
        <w:lastRenderedPageBreak/>
        <w:t xml:space="preserve">действия ТОСЭР к концу 2019 года резидентами создано 4 086 рабочих мест, инвестировано 9,7 млрд рублей. </w:t>
      </w:r>
    </w:p>
    <w:p w:rsidR="00513D04" w:rsidRPr="00640E14" w:rsidRDefault="00121D61" w:rsidP="00640E14">
      <w:pPr>
        <w:pStyle w:val="a7"/>
        <w:widowControl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color w:val="000000"/>
          <w:szCs w:val="28"/>
        </w:rPr>
      </w:pPr>
      <w:r w:rsidRPr="00513D04">
        <w:rPr>
          <w:color w:val="000000"/>
          <w:szCs w:val="28"/>
        </w:rPr>
        <w:t xml:space="preserve">В 2019 году в городском округе Тольятти </w:t>
      </w:r>
      <w:r w:rsidRPr="00121D61">
        <w:rPr>
          <w:color w:val="000000"/>
          <w:szCs w:val="28"/>
        </w:rPr>
        <w:t xml:space="preserve">на площадке Бизнес-инкубатора </w:t>
      </w:r>
      <w:r w:rsidRPr="00513D04">
        <w:rPr>
          <w:color w:val="000000"/>
          <w:szCs w:val="28"/>
        </w:rPr>
        <w:t xml:space="preserve">открыт второй центр </w:t>
      </w:r>
      <w:r w:rsidRPr="00121D61">
        <w:rPr>
          <w:color w:val="000000"/>
          <w:szCs w:val="28"/>
        </w:rPr>
        <w:t>«Мой бизнес»</w:t>
      </w:r>
      <w:r w:rsidRPr="00513D04">
        <w:rPr>
          <w:color w:val="000000"/>
          <w:szCs w:val="28"/>
        </w:rPr>
        <w:t xml:space="preserve">. С марта 2019 года в центрах «Мой бизнес» </w:t>
      </w:r>
      <w:r w:rsidRPr="00121D61">
        <w:rPr>
          <w:color w:val="000000"/>
          <w:szCs w:val="28"/>
        </w:rPr>
        <w:t>внедрён проект «БИЗНЕС под КЛЮЧ».</w:t>
      </w:r>
      <w:r w:rsidRPr="00513D04">
        <w:rPr>
          <w:color w:val="000000"/>
          <w:szCs w:val="28"/>
        </w:rPr>
        <w:t xml:space="preserve"> </w:t>
      </w:r>
      <w:r w:rsidRPr="00121D61">
        <w:rPr>
          <w:color w:val="000000"/>
          <w:szCs w:val="28"/>
        </w:rPr>
        <w:t>Для предпринимателей работают 8 окон приёма и выдачи документов.</w:t>
      </w:r>
      <w:r w:rsidRPr="00513D04">
        <w:rPr>
          <w:color w:val="000000"/>
          <w:szCs w:val="28"/>
        </w:rPr>
        <w:t xml:space="preserve"> </w:t>
      </w:r>
      <w:r w:rsidR="00513D04" w:rsidRPr="00640E14">
        <w:rPr>
          <w:color w:val="000000"/>
          <w:szCs w:val="28"/>
        </w:rPr>
        <w:t xml:space="preserve">Кроме рабочих кабинетов организованы комфортные зоны ожидания, </w:t>
      </w:r>
      <w:proofErr w:type="spellStart"/>
      <w:r w:rsidR="00513D04" w:rsidRPr="00640E14">
        <w:rPr>
          <w:color w:val="000000"/>
          <w:szCs w:val="28"/>
        </w:rPr>
        <w:t>коворкинг</w:t>
      </w:r>
      <w:proofErr w:type="spellEnd"/>
      <w:r w:rsidR="00513D04" w:rsidRPr="00640E14">
        <w:rPr>
          <w:color w:val="000000"/>
          <w:szCs w:val="28"/>
        </w:rPr>
        <w:t>, переговорные комнаты, конференц-зал на 180 мест и центр молодёжного инновационного творчества.</w:t>
      </w:r>
    </w:p>
    <w:p w:rsidR="00A82822" w:rsidRPr="007956A6" w:rsidRDefault="00A82822" w:rsidP="00121D6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2019 году продолжилось строительство социально значимых объектов, предусмотренных Планом основных мероприятий по подготовке и проведению празднования 50-летия выпуска первого легкового автомобиля ВАЗ, в том числе:</w:t>
      </w:r>
    </w:p>
    <w:p w:rsidR="00034FA9" w:rsidRPr="00200229" w:rsidRDefault="00034FA9" w:rsidP="00034F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благоустроено 65 дворовых и общественных территорий, из них: 7 общественных территорий в</w:t>
      </w:r>
      <w:r w:rsidR="00E44683"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рамках реализации государственной программы Самарской области «Формирование комфортной городской среды на 2018-2024 годы», </w:t>
      </w:r>
      <w:r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 дворовых и общественных территорий,  инициированных населением и победивших в конкурсном отборе общественных проектов Самарской области в</w:t>
      </w:r>
      <w:r w:rsidR="00E44683"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рамках Губернаторск</w:t>
      </w:r>
      <w:r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</w:t>
      </w:r>
      <w:r w:rsidR="00E44683"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проект</w:t>
      </w:r>
      <w:r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E44683"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</w:t>
      </w:r>
      <w:proofErr w:type="spellStart"/>
      <w:r w:rsidR="00E44683"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СОдействие</w:t>
      </w:r>
      <w:proofErr w:type="spellEnd"/>
      <w:r w:rsidR="00E44683"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»)</w:t>
      </w:r>
      <w:r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9 общественных территорий в рамках </w:t>
      </w:r>
      <w:r w:rsidR="00E44683"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реализации муниципальной программы «Благоустройство территории городского округа Тольятти на 2015-2024 годы», </w:t>
      </w:r>
      <w:r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42 общественные территории по результатам</w:t>
      </w:r>
      <w:r w:rsidR="00E44683"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проведени</w:t>
      </w:r>
      <w:r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E44683" w:rsidRPr="00795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конкурса</w:t>
      </w:r>
      <w:r w:rsidR="00E44683" w:rsidRPr="00200229">
        <w:rPr>
          <w:rFonts w:ascii="Times New Roman" w:hAnsi="Times New Roman" w:cs="Times New Roman"/>
          <w:color w:val="000000"/>
          <w:sz w:val="28"/>
          <w:szCs w:val="28"/>
        </w:rPr>
        <w:t xml:space="preserve"> «Наш микрорайон»</w:t>
      </w:r>
      <w:r w:rsidRPr="002002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7BC" w:rsidRPr="00200229" w:rsidRDefault="00A857BC" w:rsidP="00034F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229">
        <w:rPr>
          <w:rFonts w:ascii="Times New Roman" w:hAnsi="Times New Roman" w:cs="Times New Roman"/>
          <w:color w:val="000000"/>
          <w:sz w:val="28"/>
          <w:szCs w:val="28"/>
        </w:rPr>
        <w:t>В 2019 году завершено строительство физкультурно-спортивного комплекса «Союз» и начато проектирование физкультурно-спортивного комплекса «Акробат». За счет средств областного бюджета установлены устройства 3-х универсальных спортивных площадок.</w:t>
      </w:r>
    </w:p>
    <w:p w:rsidR="00A857BC" w:rsidRPr="00200229" w:rsidRDefault="00A857BC" w:rsidP="00034F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229">
        <w:rPr>
          <w:rFonts w:ascii="Times New Roman" w:hAnsi="Times New Roman" w:cs="Times New Roman"/>
          <w:color w:val="000000"/>
          <w:sz w:val="28"/>
          <w:szCs w:val="28"/>
        </w:rPr>
        <w:t xml:space="preserve">Велись работы по проектированию и строительству детских садов, детской поликлиники на 500 посещений в смену и поликлиники на 1000 посещений в смену, строительство объекта «Выставочный зал в честь 50-летия </w:t>
      </w:r>
      <w:proofErr w:type="spellStart"/>
      <w:r w:rsidRPr="00200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АВТОВАЗа</w:t>
      </w:r>
      <w:proofErr w:type="spellEnd"/>
      <w:r w:rsidRPr="00200229">
        <w:rPr>
          <w:rFonts w:ascii="Times New Roman" w:hAnsi="Times New Roman" w:cs="Times New Roman"/>
          <w:color w:val="000000"/>
          <w:sz w:val="28"/>
          <w:szCs w:val="28"/>
        </w:rPr>
        <w:t xml:space="preserve"> и выпуска первого легкового автомобиля со сквером, игровыми площадками и фонтаном».</w:t>
      </w:r>
    </w:p>
    <w:p w:rsidR="00A857BC" w:rsidRPr="00200229" w:rsidRDefault="00A857BC" w:rsidP="00034F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22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проектные работы по строительству улично-дорожной сети автомобильной дороги по ул. Механизаторов от ул. Громовой до ул. Лизы Чайкиной. Ведется строительство магистральной улицы по ул. Офицерской от Южного шоссе до ул. Ворошилова в Автозаводском районе. В 2019 году выполнен ремонт 15 автомобильных дорог городского округа Тольятти на площади 257,5 тыс. кв. м.  </w:t>
      </w:r>
    </w:p>
    <w:p w:rsidR="00A857BC" w:rsidRPr="00200229" w:rsidRDefault="00A857BC" w:rsidP="00034F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229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 ремонт </w:t>
      </w:r>
      <w:r w:rsidR="00034FA9" w:rsidRPr="00200229">
        <w:rPr>
          <w:rFonts w:ascii="Times New Roman" w:hAnsi="Times New Roman" w:cs="Times New Roman"/>
          <w:color w:val="000000"/>
          <w:sz w:val="28"/>
          <w:szCs w:val="28"/>
        </w:rPr>
        <w:t xml:space="preserve">дорог </w:t>
      </w:r>
      <w:r w:rsidRPr="00200229">
        <w:rPr>
          <w:rFonts w:ascii="Times New Roman" w:hAnsi="Times New Roman" w:cs="Times New Roman"/>
          <w:color w:val="000000"/>
          <w:sz w:val="28"/>
          <w:szCs w:val="28"/>
        </w:rPr>
        <w:t>дворовых территорий многоквартирных домов, проездов к дворовым территориям многоквартирных домов городского округа Тольятти в объеме 87 объектов (дворы, проезды и тротуары) на площади 178,35 тыс. кв. м.</w:t>
      </w:r>
    </w:p>
    <w:p w:rsidR="00A857BC" w:rsidRPr="00200229" w:rsidRDefault="00A857BC" w:rsidP="00034F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229">
        <w:rPr>
          <w:rFonts w:ascii="Times New Roman" w:hAnsi="Times New Roman" w:cs="Times New Roman"/>
          <w:color w:val="000000"/>
          <w:sz w:val="28"/>
          <w:szCs w:val="28"/>
        </w:rPr>
        <w:t>Осуществлен капитальный ремонт Тольяттинского краеведческого музея и Тольяттинской филармонии; 7 муниципальных музыкальных школ и школ искусств оснащены музыкальными инструментами; реализованы мероприятия в рамках проведения Года театра (охват зрителей театров в 2019 году составил 217,4 тыс. чел.); в Тольяттинской филармонии открыт виртуальный концертный зал.</w:t>
      </w:r>
    </w:p>
    <w:p w:rsidR="00F9153E" w:rsidRDefault="00F001A2" w:rsidP="00F915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особое внимание было уделено экологической обстановке </w:t>
      </w:r>
      <w:r w:rsidR="00F9153E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городском округа Тольятти.</w:t>
      </w:r>
    </w:p>
    <w:p w:rsidR="00F9153E" w:rsidRPr="00F9153E" w:rsidRDefault="00F9153E" w:rsidP="00F915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53E">
        <w:rPr>
          <w:rFonts w:ascii="Times New Roman" w:hAnsi="Times New Roman" w:cs="Times New Roman"/>
          <w:color w:val="000000"/>
          <w:sz w:val="28"/>
          <w:szCs w:val="28"/>
        </w:rPr>
        <w:t>За счёт областного и городского бюджетов, а также собственных средств восьми крупных промышленных предприятий и средств благотворительного фонда развития города «Добрый город» приобретена и передана в ФГБОУ ВО «Тольяттинский государственный университет» (ТГУ) передвижная экологическая лаборатория.</w:t>
      </w:r>
    </w:p>
    <w:p w:rsidR="00F9153E" w:rsidRPr="00F9153E" w:rsidRDefault="00F9153E" w:rsidP="00F915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53E">
        <w:rPr>
          <w:rFonts w:ascii="Times New Roman" w:hAnsi="Times New Roman" w:cs="Times New Roman"/>
          <w:color w:val="000000"/>
          <w:sz w:val="28"/>
          <w:szCs w:val="28"/>
        </w:rPr>
        <w:t xml:space="preserve">К работе в лаборатории привлечены специалисты научно-аналитического центра физико-химических и экологических исследований, а также кафедры «Химическая технология и ресурсосбережение» ТГУ. </w:t>
      </w:r>
    </w:p>
    <w:p w:rsidR="00F9153E" w:rsidRPr="00F9153E" w:rsidRDefault="00F9153E" w:rsidP="00F915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53E">
        <w:rPr>
          <w:rFonts w:ascii="Times New Roman" w:hAnsi="Times New Roman" w:cs="Times New Roman"/>
          <w:color w:val="000000"/>
          <w:sz w:val="28"/>
          <w:szCs w:val="28"/>
        </w:rPr>
        <w:t>Завершен первый этап исследования качественного состава атмосферного воздуха в городском округе Тольятти.</w:t>
      </w:r>
    </w:p>
    <w:p w:rsidR="00A857BC" w:rsidRPr="00200229" w:rsidRDefault="00A857BC" w:rsidP="00034F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целях улучшения экологической ситуации ликвидировано 25 несанкционированных свалок (в том числе 9 - силами промышленных организаций города, администрации городского округа Тольятти, волонтеров) общим объемом отходов 15238 куб. м. Осуществлялся ряд других мероприятий экологической направленности: проводились акции и субботники по очистке и благоустройству территорий, лесных участков, </w:t>
      </w:r>
      <w:proofErr w:type="spellStart"/>
      <w:r w:rsidRPr="00200229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200229">
        <w:rPr>
          <w:rFonts w:ascii="Times New Roman" w:hAnsi="Times New Roman" w:cs="Times New Roman"/>
          <w:color w:val="000000"/>
          <w:sz w:val="28"/>
          <w:szCs w:val="28"/>
        </w:rPr>
        <w:t xml:space="preserve"> зон.</w:t>
      </w:r>
      <w:r w:rsidR="00513D04" w:rsidRPr="00200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D04" w:rsidRDefault="00513D04" w:rsidP="00513D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229">
        <w:rPr>
          <w:rFonts w:ascii="Times New Roman" w:hAnsi="Times New Roman" w:cs="Times New Roman"/>
          <w:color w:val="000000"/>
          <w:sz w:val="28"/>
          <w:szCs w:val="28"/>
        </w:rPr>
        <w:t xml:space="preserve">Площадь искусственного восстановления городских лесов, пострадавших в результате засухи и последствий лесных пожаров в границах городского округа Тольятти в 2019 году составила 69 га. Еще на 100 га лесных участков выполнено дополнение лесных культур. </w:t>
      </w:r>
    </w:p>
    <w:p w:rsidR="007475C2" w:rsidRPr="00213CBE" w:rsidRDefault="007475C2" w:rsidP="007475C2">
      <w:pPr>
        <w:pStyle w:val="a3"/>
        <w:jc w:val="center"/>
        <w:rPr>
          <w:szCs w:val="28"/>
        </w:rPr>
      </w:pPr>
      <w:r w:rsidRPr="00213CBE">
        <w:rPr>
          <w:szCs w:val="28"/>
        </w:rPr>
        <w:t>Раздел 2. Планируемые приоритетные направления развития муниципального образования</w:t>
      </w:r>
      <w:r w:rsidR="00FF148C">
        <w:rPr>
          <w:szCs w:val="28"/>
        </w:rPr>
        <w:t xml:space="preserve"> на 2020 год</w:t>
      </w:r>
    </w:p>
    <w:p w:rsidR="007475C2" w:rsidRPr="00213CBE" w:rsidRDefault="007475C2" w:rsidP="007475C2">
      <w:pPr>
        <w:pStyle w:val="a3"/>
        <w:jc w:val="center"/>
        <w:rPr>
          <w:szCs w:val="28"/>
        </w:rPr>
      </w:pPr>
    </w:p>
    <w:p w:rsidR="00FF148C" w:rsidRPr="00FF148C" w:rsidRDefault="00FF148C" w:rsidP="00FF14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475C2"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о стратегическому приоритету «Город жизни» 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национал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проекта 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>«Безопасные и качественные автомобильные дороги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53E">
        <w:rPr>
          <w:rFonts w:ascii="Times New Roman" w:hAnsi="Times New Roman" w:cs="Times New Roman"/>
          <w:color w:val="000000"/>
          <w:sz w:val="28"/>
          <w:szCs w:val="28"/>
        </w:rPr>
        <w:t>запланировано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F148C" w:rsidRPr="00FF148C" w:rsidRDefault="00FF148C" w:rsidP="004422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4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475C2"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7475C2" w:rsidRPr="00FF148C">
        <w:rPr>
          <w:rFonts w:ascii="Times New Roman" w:hAnsi="Times New Roman" w:cs="Times New Roman"/>
          <w:color w:val="000000"/>
          <w:sz w:val="28"/>
          <w:szCs w:val="28"/>
        </w:rPr>
        <w:t>ремонт 13 автомобильных дорог общего пользования местного значения городского округа Тольятти» общей протяженностью 14,05 км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475C2"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автодороги по ул. </w:t>
      </w:r>
      <w:proofErr w:type="spellStart"/>
      <w:r w:rsidR="007475C2" w:rsidRPr="00FF148C">
        <w:rPr>
          <w:rFonts w:ascii="Times New Roman" w:hAnsi="Times New Roman" w:cs="Times New Roman"/>
          <w:color w:val="000000"/>
          <w:sz w:val="28"/>
          <w:szCs w:val="28"/>
        </w:rPr>
        <w:t>Ингельберга</w:t>
      </w:r>
      <w:proofErr w:type="spellEnd"/>
      <w:r w:rsidR="007475C2"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>- 1,3 км;</w:t>
      </w:r>
    </w:p>
    <w:p w:rsidR="007475C2" w:rsidRPr="00FF148C" w:rsidRDefault="00FF148C" w:rsidP="004422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48C">
        <w:rPr>
          <w:rFonts w:ascii="Times New Roman" w:hAnsi="Times New Roman" w:cs="Times New Roman"/>
          <w:color w:val="000000"/>
          <w:sz w:val="28"/>
          <w:szCs w:val="28"/>
        </w:rPr>
        <w:t>- закончить с</w:t>
      </w:r>
      <w:r w:rsidR="007475C2" w:rsidRPr="00FF148C">
        <w:rPr>
          <w:rFonts w:ascii="Times New Roman" w:hAnsi="Times New Roman" w:cs="Times New Roman"/>
          <w:color w:val="000000"/>
          <w:sz w:val="28"/>
          <w:szCs w:val="28"/>
        </w:rPr>
        <w:t>троительство магистральной улицы общегородского значения регулируемого дви</w:t>
      </w:r>
      <w:r w:rsidR="00442278">
        <w:rPr>
          <w:rFonts w:ascii="Times New Roman" w:hAnsi="Times New Roman" w:cs="Times New Roman"/>
          <w:color w:val="000000"/>
          <w:sz w:val="28"/>
          <w:szCs w:val="28"/>
        </w:rPr>
        <w:t>жения ул. Офицерской - 0,9 км.</w:t>
      </w:r>
    </w:p>
    <w:p w:rsidR="00D06226" w:rsidRDefault="00FF148C" w:rsidP="00D062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о стратегическому 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>приоритету «</w:t>
      </w:r>
      <w:proofErr w:type="spellStart"/>
      <w:r w:rsidRPr="00D06226">
        <w:rPr>
          <w:rFonts w:ascii="Times New Roman" w:hAnsi="Times New Roman" w:cs="Times New Roman"/>
          <w:color w:val="000000"/>
          <w:sz w:val="28"/>
          <w:szCs w:val="28"/>
        </w:rPr>
        <w:t>Экогород</w:t>
      </w:r>
      <w:proofErr w:type="spellEnd"/>
      <w:r w:rsidRPr="00D062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н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>ациональн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 xml:space="preserve"> «Экология»</w:t>
      </w:r>
      <w:r w:rsidR="00D0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226" w:rsidRPr="00D06226">
        <w:rPr>
          <w:rFonts w:ascii="Times New Roman" w:hAnsi="Times New Roman" w:cs="Times New Roman"/>
          <w:color w:val="000000"/>
          <w:sz w:val="28"/>
          <w:szCs w:val="28"/>
        </w:rPr>
        <w:t>запланированы мероприятия: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75C2" w:rsidRPr="00D06226" w:rsidRDefault="00D06226" w:rsidP="00D062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>азработка проектной, сметной документации и производство работ по ликвидации и рекультивации вскрытой свалки инертных отходов, расположенной напр</w:t>
      </w:r>
      <w:r>
        <w:rPr>
          <w:rFonts w:ascii="Times New Roman" w:hAnsi="Times New Roman" w:cs="Times New Roman"/>
          <w:color w:val="000000"/>
          <w:sz w:val="28"/>
          <w:szCs w:val="28"/>
        </w:rPr>
        <w:t>отив 1-3 вставок ПАО «АВТОВАЗ»;</w:t>
      </w:r>
    </w:p>
    <w:p w:rsidR="007475C2" w:rsidRPr="00D06226" w:rsidRDefault="00D06226" w:rsidP="00D062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>азработка проектной, сметной документации и производство работ по ликвидации и рекультивации бывшей городской свалки промышленных и бытовых отходов Комсомольского района, южнее завода ОАО «</w:t>
      </w:r>
      <w:proofErr w:type="spellStart"/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>АвтоВАЗАгрегат</w:t>
      </w:r>
      <w:proofErr w:type="spellEnd"/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35192B" w:rsidRPr="00D06226" w:rsidRDefault="00D06226" w:rsidP="00D062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2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стратегическому приоритету «Город жизни» в рамках реализации н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>ациональн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«Жилье и городская среда» 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округа Тольятти должны быть выполнены работы по благоустройству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>13 дворовых территорий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475C2" w:rsidRPr="00D06226">
        <w:rPr>
          <w:rFonts w:ascii="Times New Roman" w:hAnsi="Times New Roman" w:cs="Times New Roman"/>
          <w:color w:val="000000"/>
          <w:sz w:val="28"/>
          <w:szCs w:val="28"/>
        </w:rPr>
        <w:t>4 общественных пространств</w:t>
      </w:r>
      <w:r w:rsidR="0035192B">
        <w:rPr>
          <w:rFonts w:ascii="Times New Roman" w:hAnsi="Times New Roman" w:cs="Times New Roman"/>
          <w:color w:val="000000"/>
          <w:sz w:val="28"/>
          <w:szCs w:val="28"/>
        </w:rPr>
        <w:t>: с</w:t>
      </w:r>
      <w:r w:rsidR="0035192B" w:rsidRPr="0035192B">
        <w:rPr>
          <w:rFonts w:ascii="Times New Roman" w:hAnsi="Times New Roman" w:cs="Times New Roman"/>
          <w:color w:val="000000"/>
          <w:sz w:val="28"/>
          <w:szCs w:val="28"/>
        </w:rPr>
        <w:t xml:space="preserve">квер им. С.Ф. </w:t>
      </w:r>
      <w:proofErr w:type="spellStart"/>
      <w:r w:rsidR="0035192B" w:rsidRPr="0035192B">
        <w:rPr>
          <w:rFonts w:ascii="Times New Roman" w:hAnsi="Times New Roman" w:cs="Times New Roman"/>
          <w:color w:val="000000"/>
          <w:sz w:val="28"/>
          <w:szCs w:val="28"/>
        </w:rPr>
        <w:t>Жилкина</w:t>
      </w:r>
      <w:proofErr w:type="spellEnd"/>
      <w:r w:rsidR="0035192B" w:rsidRPr="0035192B">
        <w:rPr>
          <w:rFonts w:ascii="Times New Roman" w:hAnsi="Times New Roman" w:cs="Times New Roman"/>
          <w:color w:val="000000"/>
          <w:sz w:val="28"/>
          <w:szCs w:val="28"/>
        </w:rPr>
        <w:t xml:space="preserve"> для активного отдыха </w:t>
      </w:r>
      <w:r w:rsidR="0035192B">
        <w:rPr>
          <w:rFonts w:ascii="Times New Roman" w:hAnsi="Times New Roman" w:cs="Times New Roman"/>
          <w:color w:val="000000"/>
          <w:sz w:val="28"/>
          <w:szCs w:val="28"/>
        </w:rPr>
        <w:t>молодёжи, н</w:t>
      </w:r>
      <w:r w:rsidR="0035192B" w:rsidRPr="0035192B">
        <w:rPr>
          <w:rFonts w:ascii="Times New Roman" w:hAnsi="Times New Roman" w:cs="Times New Roman"/>
          <w:color w:val="000000"/>
          <w:sz w:val="28"/>
          <w:szCs w:val="28"/>
        </w:rPr>
        <w:t>абережная Комсомольского района</w:t>
      </w:r>
      <w:r w:rsidR="003519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192B" w:rsidRPr="0035192B">
        <w:rPr>
          <w:rFonts w:ascii="Times New Roman" w:hAnsi="Times New Roman" w:cs="Times New Roman"/>
          <w:color w:val="000000"/>
          <w:sz w:val="28"/>
          <w:szCs w:val="28"/>
        </w:rPr>
        <w:t>Центральная площадь</w:t>
      </w:r>
      <w:r w:rsidR="003519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2278">
        <w:rPr>
          <w:rFonts w:ascii="Times New Roman" w:hAnsi="Times New Roman" w:cs="Times New Roman"/>
          <w:color w:val="000000"/>
          <w:sz w:val="28"/>
          <w:szCs w:val="28"/>
        </w:rPr>
        <w:t>с</w:t>
      </w:r>
      <w:bookmarkStart w:id="0" w:name="_GoBack"/>
      <w:bookmarkEnd w:id="0"/>
      <w:r w:rsidR="0035192B" w:rsidRPr="0035192B">
        <w:rPr>
          <w:rFonts w:ascii="Times New Roman" w:hAnsi="Times New Roman" w:cs="Times New Roman"/>
          <w:color w:val="000000"/>
          <w:sz w:val="28"/>
          <w:szCs w:val="28"/>
        </w:rPr>
        <w:t>квер по ул. Жилина (от ул. Мира до пл. Свободы)</w:t>
      </w:r>
      <w:r w:rsidR="0035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5FC" w:rsidRDefault="002F15FC" w:rsidP="002F15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о стратегическому 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>приоритету «</w:t>
      </w:r>
      <w:r w:rsidRPr="002F15FC">
        <w:rPr>
          <w:rFonts w:ascii="Times New Roman" w:hAnsi="Times New Roman" w:cs="Times New Roman"/>
          <w:color w:val="000000"/>
          <w:sz w:val="28"/>
          <w:szCs w:val="28"/>
        </w:rPr>
        <w:t>Человеческий потенциал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F1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национального проекта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Демография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226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запланированы мероприятия: </w:t>
      </w:r>
    </w:p>
    <w:p w:rsidR="00FD0B61" w:rsidRDefault="002F15FC" w:rsidP="002F15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5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475C2" w:rsidRPr="002F1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5F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475C2" w:rsidRPr="002F15FC">
        <w:rPr>
          <w:rFonts w:ascii="Times New Roman" w:hAnsi="Times New Roman" w:cs="Times New Roman"/>
          <w:color w:val="000000"/>
          <w:sz w:val="28"/>
          <w:szCs w:val="28"/>
        </w:rPr>
        <w:t xml:space="preserve">роектирование и строительство физкультурно-спортивного комплекса в 21 квартале Автозаводского района для МБУДО СДЮСШОР    </w:t>
      </w:r>
      <w:r w:rsidR="00C4355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14C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75C2" w:rsidRPr="002F15FC">
        <w:rPr>
          <w:rFonts w:ascii="Times New Roman" w:hAnsi="Times New Roman" w:cs="Times New Roman"/>
          <w:color w:val="000000"/>
          <w:sz w:val="28"/>
          <w:szCs w:val="28"/>
        </w:rPr>
        <w:t>7 «Акробат»</w:t>
      </w:r>
      <w:r w:rsidRPr="002F15F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D4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15FC" w:rsidRPr="002F15FC" w:rsidRDefault="002F15FC" w:rsidP="002F15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5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6B4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26B48" w:rsidRPr="00126B48">
        <w:rPr>
          <w:rFonts w:ascii="Times New Roman" w:hAnsi="Times New Roman" w:cs="Times New Roman"/>
          <w:color w:val="000000"/>
          <w:sz w:val="28"/>
          <w:szCs w:val="28"/>
        </w:rPr>
        <w:t>стройство спортивных площадок открытого типа для уличного баскетбола с полимерным покрытием 3 ед. (размер 17х14м)</w:t>
      </w:r>
      <w:r w:rsidR="00F378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15FC" w:rsidRDefault="002F15FC" w:rsidP="002F15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5FC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7475C2" w:rsidRPr="002F15FC">
        <w:rPr>
          <w:rFonts w:ascii="Times New Roman" w:hAnsi="Times New Roman" w:cs="Times New Roman"/>
          <w:color w:val="000000"/>
          <w:sz w:val="28"/>
          <w:szCs w:val="28"/>
        </w:rPr>
        <w:t>стройство малой спортивно</w:t>
      </w:r>
      <w:r w:rsidR="006F6962">
        <w:rPr>
          <w:rFonts w:ascii="Times New Roman" w:hAnsi="Times New Roman" w:cs="Times New Roman"/>
          <w:color w:val="000000"/>
          <w:sz w:val="28"/>
          <w:szCs w:val="28"/>
        </w:rPr>
        <w:t xml:space="preserve">й площадки ГТО </w:t>
      </w:r>
      <w:r w:rsidR="00F3788B">
        <w:rPr>
          <w:rFonts w:ascii="Times New Roman" w:hAnsi="Times New Roman" w:cs="Times New Roman"/>
          <w:color w:val="000000"/>
          <w:sz w:val="28"/>
          <w:szCs w:val="28"/>
        </w:rPr>
        <w:t>в МБУ СШОР № 10 «Олимп»</w:t>
      </w:r>
      <w:r w:rsidRPr="002F15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0B61" w:rsidRPr="002F15FC" w:rsidRDefault="00FD0B61" w:rsidP="002F15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3788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роительство легкоатлетическ</w:t>
      </w:r>
      <w:r w:rsidR="00F3788B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манеж</w:t>
      </w:r>
      <w:r w:rsidR="00F3788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88B">
        <w:rPr>
          <w:rFonts w:ascii="Times New Roman" w:hAnsi="Times New Roman" w:cs="Times New Roman"/>
          <w:color w:val="000000"/>
          <w:sz w:val="28"/>
          <w:szCs w:val="28"/>
        </w:rPr>
        <w:t>в Автозаводском районе;</w:t>
      </w:r>
    </w:p>
    <w:p w:rsidR="008D420B" w:rsidRDefault="002F15FC" w:rsidP="002F15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5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475C2" w:rsidRPr="002F1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5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475C2" w:rsidRPr="002F15FC">
        <w:rPr>
          <w:rFonts w:ascii="Times New Roman" w:hAnsi="Times New Roman" w:cs="Times New Roman"/>
          <w:color w:val="000000"/>
          <w:sz w:val="28"/>
          <w:szCs w:val="28"/>
        </w:rPr>
        <w:t xml:space="preserve">троительство детского сада, расположенного по адресу: Самарская область, г. Тольятти, Комсомольский район, </w:t>
      </w:r>
      <w:proofErr w:type="spellStart"/>
      <w:r w:rsidR="007475C2" w:rsidRPr="002F15FC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7475C2" w:rsidRPr="002F15FC">
        <w:rPr>
          <w:rFonts w:ascii="Times New Roman" w:hAnsi="Times New Roman" w:cs="Times New Roman"/>
          <w:color w:val="000000"/>
          <w:sz w:val="28"/>
          <w:szCs w:val="28"/>
        </w:rPr>
        <w:t>. Жигулевское море</w:t>
      </w:r>
      <w:r w:rsidR="006F69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420B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r w:rsidR="004C37D5">
        <w:rPr>
          <w:rFonts w:ascii="Times New Roman" w:hAnsi="Times New Roman" w:cs="Times New Roman"/>
          <w:color w:val="000000"/>
          <w:sz w:val="28"/>
          <w:szCs w:val="28"/>
        </w:rPr>
        <w:t>(сдан в эксплуатацию в феврале 2020 года)</w:t>
      </w:r>
      <w:r w:rsidR="00126B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6B48" w:rsidRDefault="00126B48" w:rsidP="002F15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126B48">
        <w:rPr>
          <w:rFonts w:ascii="Times New Roman" w:hAnsi="Times New Roman" w:cs="Times New Roman"/>
          <w:color w:val="000000"/>
          <w:sz w:val="28"/>
          <w:szCs w:val="28"/>
        </w:rPr>
        <w:t>троительство детского сада на 145 мест по ул. 40 лет Победы ЛДС-2 в составе 2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53E" w:rsidRDefault="00F9153E" w:rsidP="002F15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Однако, в связи с распространением коронавирусной инфекции </w:t>
      </w:r>
      <w:r w:rsidR="00970658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="006F6962">
        <w:rPr>
          <w:rFonts w:ascii="Times New Roman" w:hAnsi="Times New Roman" w:cs="Times New Roman"/>
          <w:color w:val="000000"/>
          <w:sz w:val="28"/>
          <w:szCs w:val="28"/>
        </w:rPr>
        <w:t xml:space="preserve">и в целях обеспечения сбалансированности бюджета в условиях прогнозируемого снижения поступлений доходов бюджета, </w:t>
      </w:r>
      <w:r w:rsidR="00FD0B61">
        <w:rPr>
          <w:rFonts w:ascii="Times New Roman" w:hAnsi="Times New Roman" w:cs="Times New Roman"/>
          <w:color w:val="000000"/>
          <w:sz w:val="28"/>
          <w:szCs w:val="28"/>
        </w:rPr>
        <w:t xml:space="preserve">до конца 2020 года финансирование расходов бюджета будет осуществляться по группам приоритетности (расходы капитального характера относятся к третьей группе приоритетности). </w:t>
      </w:r>
    </w:p>
    <w:p w:rsidR="00AF7AC5" w:rsidRDefault="00F3788B" w:rsidP="00F3788B">
      <w:pPr>
        <w:autoSpaceDE w:val="0"/>
        <w:autoSpaceDN w:val="0"/>
        <w:spacing w:line="240" w:lineRule="auto"/>
        <w:contextualSpacing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</w:t>
      </w:r>
    </w:p>
    <w:sectPr w:rsidR="00AF7AC5" w:rsidSect="00F915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3E" w:rsidRDefault="00F9153E" w:rsidP="00F9153E">
      <w:pPr>
        <w:spacing w:line="240" w:lineRule="auto"/>
      </w:pPr>
      <w:r>
        <w:separator/>
      </w:r>
    </w:p>
  </w:endnote>
  <w:endnote w:type="continuationSeparator" w:id="0">
    <w:p w:rsidR="00F9153E" w:rsidRDefault="00F9153E" w:rsidP="00F91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3E" w:rsidRDefault="00F9153E" w:rsidP="00F9153E">
      <w:pPr>
        <w:spacing w:line="240" w:lineRule="auto"/>
      </w:pPr>
      <w:r>
        <w:separator/>
      </w:r>
    </w:p>
  </w:footnote>
  <w:footnote w:type="continuationSeparator" w:id="0">
    <w:p w:rsidR="00F9153E" w:rsidRDefault="00F9153E" w:rsidP="00F91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17275"/>
      <w:docPartObj>
        <w:docPartGallery w:val="Page Numbers (Top of Page)"/>
        <w:docPartUnique/>
      </w:docPartObj>
    </w:sdtPr>
    <w:sdtEndPr/>
    <w:sdtContent>
      <w:p w:rsidR="00F9153E" w:rsidRDefault="00F91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278">
          <w:rPr>
            <w:noProof/>
          </w:rPr>
          <w:t>7</w:t>
        </w:r>
        <w:r>
          <w:fldChar w:fldCharType="end"/>
        </w:r>
      </w:p>
    </w:sdtContent>
  </w:sdt>
  <w:p w:rsidR="00F9153E" w:rsidRDefault="00F91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CF3546"/>
    <w:multiLevelType w:val="hybridMultilevel"/>
    <w:tmpl w:val="EA3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3087"/>
    <w:multiLevelType w:val="multilevel"/>
    <w:tmpl w:val="309C59D6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97"/>
    <w:rsid w:val="00003C16"/>
    <w:rsid w:val="00034FA9"/>
    <w:rsid w:val="00086908"/>
    <w:rsid w:val="00096238"/>
    <w:rsid w:val="00114CFD"/>
    <w:rsid w:val="00121D61"/>
    <w:rsid w:val="00126B48"/>
    <w:rsid w:val="00172F4B"/>
    <w:rsid w:val="001D0717"/>
    <w:rsid w:val="00200229"/>
    <w:rsid w:val="0021163D"/>
    <w:rsid w:val="0021211F"/>
    <w:rsid w:val="00264574"/>
    <w:rsid w:val="002F15FC"/>
    <w:rsid w:val="002F6697"/>
    <w:rsid w:val="00326418"/>
    <w:rsid w:val="0035192B"/>
    <w:rsid w:val="004178D0"/>
    <w:rsid w:val="00442278"/>
    <w:rsid w:val="00466ABC"/>
    <w:rsid w:val="004C37D5"/>
    <w:rsid w:val="00513D04"/>
    <w:rsid w:val="00516DC6"/>
    <w:rsid w:val="0057237B"/>
    <w:rsid w:val="00613E32"/>
    <w:rsid w:val="00640E14"/>
    <w:rsid w:val="0065344B"/>
    <w:rsid w:val="00662020"/>
    <w:rsid w:val="00687C0E"/>
    <w:rsid w:val="006D3717"/>
    <w:rsid w:val="006F6962"/>
    <w:rsid w:val="007475C2"/>
    <w:rsid w:val="00752ACB"/>
    <w:rsid w:val="00775107"/>
    <w:rsid w:val="007857FD"/>
    <w:rsid w:val="007956A6"/>
    <w:rsid w:val="007972E9"/>
    <w:rsid w:val="007C323B"/>
    <w:rsid w:val="007F231D"/>
    <w:rsid w:val="00854893"/>
    <w:rsid w:val="008D420B"/>
    <w:rsid w:val="009236FE"/>
    <w:rsid w:val="00970658"/>
    <w:rsid w:val="009D5024"/>
    <w:rsid w:val="009F0A5A"/>
    <w:rsid w:val="009F795D"/>
    <w:rsid w:val="00A145C6"/>
    <w:rsid w:val="00A31C97"/>
    <w:rsid w:val="00A463A3"/>
    <w:rsid w:val="00A82822"/>
    <w:rsid w:val="00A857BC"/>
    <w:rsid w:val="00AF7AC5"/>
    <w:rsid w:val="00C327F1"/>
    <w:rsid w:val="00C43558"/>
    <w:rsid w:val="00D06226"/>
    <w:rsid w:val="00E20CF7"/>
    <w:rsid w:val="00E44683"/>
    <w:rsid w:val="00E514FD"/>
    <w:rsid w:val="00E90D1C"/>
    <w:rsid w:val="00EC0BB1"/>
    <w:rsid w:val="00F001A2"/>
    <w:rsid w:val="00F3788B"/>
    <w:rsid w:val="00F611DA"/>
    <w:rsid w:val="00F9153E"/>
    <w:rsid w:val="00FA6542"/>
    <w:rsid w:val="00FC2E70"/>
    <w:rsid w:val="00FD0B61"/>
    <w:rsid w:val="00FE4EAA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8252B-A8C1-40EC-8966-3088BD5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3D"/>
    <w:pPr>
      <w:widowControl w:val="0"/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spacing w:before="240" w:line="240" w:lineRule="auto"/>
      <w:ind w:firstLine="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link w:val="a4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customStyle="1" w:styleId="ConsPlusNormal">
    <w:name w:val="ConsPlusNormal"/>
    <w:link w:val="ConsPlusNormal0"/>
    <w:qFormat/>
    <w:rsid w:val="00A3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31C97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FA654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6542"/>
    <w:pPr>
      <w:shd w:val="clear" w:color="auto" w:fill="FFFFFF"/>
      <w:spacing w:line="302" w:lineRule="exact"/>
      <w:ind w:hanging="340"/>
    </w:pPr>
    <w:rPr>
      <w:sz w:val="26"/>
      <w:szCs w:val="26"/>
    </w:rPr>
  </w:style>
  <w:style w:type="character" w:customStyle="1" w:styleId="211pt">
    <w:name w:val="Основной текст (2) + 11 pt"/>
    <w:rsid w:val="00FA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F7AC5"/>
    <w:pPr>
      <w:widowControl/>
      <w:tabs>
        <w:tab w:val="center" w:pos="4677"/>
        <w:tab w:val="right" w:pos="9355"/>
      </w:tabs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AF7AC5"/>
    <w:rPr>
      <w:rFonts w:ascii="Calibri" w:eastAsia="Calibri" w:hAnsi="Calibri" w:cs="Times New Roman"/>
    </w:rPr>
  </w:style>
  <w:style w:type="paragraph" w:styleId="a7">
    <w:name w:val="List Paragraph"/>
    <w:aliases w:val="Абзац списка основной,ПАРАГРАФ,Абзац списка11"/>
    <w:basedOn w:val="a"/>
    <w:link w:val="a8"/>
    <w:uiPriority w:val="34"/>
    <w:qFormat/>
    <w:rsid w:val="00121D61"/>
    <w:pPr>
      <w:spacing w:line="360" w:lineRule="auto"/>
      <w:ind w:left="720"/>
      <w:contextualSpacing/>
      <w:jc w:val="both"/>
    </w:pPr>
    <w:rPr>
      <w:rFonts w:eastAsia="Calibri" w:cs="Times New Roman"/>
      <w:sz w:val="28"/>
    </w:rPr>
  </w:style>
  <w:style w:type="character" w:customStyle="1" w:styleId="a8">
    <w:name w:val="Абзац списка Знак"/>
    <w:aliases w:val="Абзац списка основной Знак,ПАРАГРАФ Знак,Абзац списка11 Знак"/>
    <w:link w:val="a7"/>
    <w:uiPriority w:val="34"/>
    <w:rsid w:val="00121D61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513D04"/>
    <w:pPr>
      <w:widowControl/>
      <w:spacing w:before="100" w:beforeAutospacing="1" w:after="100" w:afterAutospacing="1" w:line="240" w:lineRule="auto"/>
      <w:ind w:firstLine="0"/>
    </w:pPr>
    <w:rPr>
      <w:rFonts w:cs="Times New Roman"/>
      <w:szCs w:val="24"/>
      <w:lang w:eastAsia="ru-RU"/>
    </w:rPr>
  </w:style>
  <w:style w:type="character" w:customStyle="1" w:styleId="a4">
    <w:name w:val="Без интервала Знак"/>
    <w:aliases w:val="ПИСЬМА НПА Знак"/>
    <w:link w:val="a3"/>
    <w:uiPriority w:val="1"/>
    <w:rsid w:val="00200229"/>
    <w:rPr>
      <w:rFonts w:ascii="Times New Roman" w:hAnsi="Times New Roman"/>
      <w:sz w:val="28"/>
    </w:rPr>
  </w:style>
  <w:style w:type="character" w:styleId="aa">
    <w:name w:val="Hyperlink"/>
    <w:uiPriority w:val="99"/>
    <w:rsid w:val="00200229"/>
    <w:rPr>
      <w:rFonts w:cs="Times New Roman"/>
      <w:color w:val="0000FF"/>
      <w:u w:val="single"/>
    </w:rPr>
  </w:style>
  <w:style w:type="paragraph" w:customStyle="1" w:styleId="ab">
    <w:name w:val="a"/>
    <w:basedOn w:val="a"/>
    <w:rsid w:val="00200229"/>
    <w:pPr>
      <w:widowControl/>
      <w:spacing w:before="100" w:beforeAutospacing="1" w:after="100" w:afterAutospacing="1" w:line="240" w:lineRule="auto"/>
      <w:ind w:firstLine="0"/>
    </w:pPr>
    <w:rPr>
      <w:rFonts w:eastAsia="Calibri" w:cs="Times New Roman"/>
      <w:szCs w:val="24"/>
      <w:lang w:eastAsia="ru-RU"/>
    </w:rPr>
  </w:style>
  <w:style w:type="paragraph" w:styleId="ac">
    <w:name w:val="Body Text"/>
    <w:basedOn w:val="a"/>
    <w:link w:val="ad"/>
    <w:semiHidden/>
    <w:rsid w:val="007475C2"/>
    <w:pPr>
      <w:widowControl/>
      <w:spacing w:line="240" w:lineRule="auto"/>
      <w:ind w:firstLine="0"/>
      <w:jc w:val="both"/>
    </w:pPr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475C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Заголовок1"/>
    <w:basedOn w:val="a"/>
    <w:next w:val="ac"/>
    <w:rsid w:val="007475C2"/>
    <w:pPr>
      <w:keepNext/>
      <w:suppressAutoHyphens/>
      <w:spacing w:before="240" w:after="120" w:line="240" w:lineRule="auto"/>
      <w:ind w:firstLine="0"/>
    </w:pPr>
    <w:rPr>
      <w:rFonts w:ascii="Arial" w:eastAsia="Tahoma" w:hAnsi="Arial" w:cs="Tahoma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F9153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153E"/>
    <w:rPr>
      <w:rFonts w:ascii="Times New Roman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956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l.ru/structure/department/doklad-mera-pered-pravitelstvom-samarskoy-obla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5BDA-E7B7-48C0-8E96-2D27845D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Ерохина Татьяна Владиславовна</cp:lastModifiedBy>
  <cp:revision>7</cp:revision>
  <cp:lastPrinted>2020-04-29T07:22:00Z</cp:lastPrinted>
  <dcterms:created xsi:type="dcterms:W3CDTF">2020-04-28T14:17:00Z</dcterms:created>
  <dcterms:modified xsi:type="dcterms:W3CDTF">2020-04-29T07:56:00Z</dcterms:modified>
</cp:coreProperties>
</file>