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E3" w:rsidRDefault="00DA30E3">
      <w:pPr>
        <w:divId w:val="700857383"/>
      </w:pPr>
      <w:bookmarkStart w:id="0" w:name="_GoBack"/>
      <w:bookmarkEnd w:id="0"/>
    </w:p>
    <w:p w:rsidR="00DA30E3" w:rsidRPr="001E1FAB" w:rsidRDefault="00DA30E3" w:rsidP="00DA30E3">
      <w:pPr>
        <w:spacing w:before="0" w:beforeAutospacing="0" w:after="0" w:afterAutospacing="0"/>
        <w:jc w:val="right"/>
        <w:divId w:val="700857383"/>
        <w:rPr>
          <w:rFonts w:eastAsia="Times New Roman"/>
          <w:bCs/>
        </w:rPr>
      </w:pPr>
      <w:r w:rsidRPr="001E1FAB">
        <w:rPr>
          <w:rFonts w:eastAsia="Times New Roman"/>
          <w:bCs/>
        </w:rPr>
        <w:t>Приложение 3</w:t>
      </w:r>
    </w:p>
    <w:p w:rsidR="00DA30E3" w:rsidRPr="001E1FAB" w:rsidRDefault="00DA30E3" w:rsidP="00DA30E3">
      <w:pPr>
        <w:spacing w:before="0" w:beforeAutospacing="0" w:after="0" w:afterAutospacing="0"/>
        <w:jc w:val="right"/>
        <w:divId w:val="700857383"/>
        <w:rPr>
          <w:rFonts w:eastAsia="Times New Roman"/>
          <w:bCs/>
        </w:rPr>
      </w:pPr>
      <w:r w:rsidRPr="001E1FAB">
        <w:rPr>
          <w:rFonts w:eastAsia="Times New Roman"/>
          <w:bCs/>
        </w:rPr>
        <w:t>к отчету главы городского округа Тольятти</w:t>
      </w:r>
    </w:p>
    <w:p w:rsidR="00DA30E3" w:rsidRPr="001E1FAB" w:rsidRDefault="00DA30E3" w:rsidP="00DA30E3">
      <w:pPr>
        <w:spacing w:before="0" w:beforeAutospacing="0" w:after="0" w:afterAutospacing="0"/>
        <w:jc w:val="right"/>
        <w:divId w:val="700857383"/>
        <w:rPr>
          <w:rFonts w:eastAsia="Times New Roman"/>
          <w:bCs/>
        </w:rPr>
      </w:pPr>
      <w:r w:rsidRPr="001E1FAB">
        <w:rPr>
          <w:rFonts w:eastAsia="Times New Roman"/>
          <w:bCs/>
        </w:rPr>
        <w:t>о результатах его деятельности</w:t>
      </w:r>
    </w:p>
    <w:p w:rsidR="00DA30E3" w:rsidRPr="001E1FAB" w:rsidRDefault="00DA30E3" w:rsidP="00DA30E3">
      <w:pPr>
        <w:spacing w:before="0" w:beforeAutospacing="0" w:after="0" w:afterAutospacing="0"/>
        <w:jc w:val="right"/>
        <w:divId w:val="700857383"/>
        <w:rPr>
          <w:rFonts w:eastAsia="Times New Roman"/>
          <w:bCs/>
        </w:rPr>
      </w:pPr>
      <w:r w:rsidRPr="001E1FAB">
        <w:rPr>
          <w:rFonts w:eastAsia="Times New Roman"/>
          <w:bCs/>
        </w:rPr>
        <w:t xml:space="preserve">и  деятельности администрации </w:t>
      </w:r>
      <w:proofErr w:type="gramStart"/>
      <w:r w:rsidRPr="001E1FAB">
        <w:rPr>
          <w:rFonts w:eastAsia="Times New Roman"/>
          <w:bCs/>
        </w:rPr>
        <w:t>городского</w:t>
      </w:r>
      <w:proofErr w:type="gramEnd"/>
    </w:p>
    <w:p w:rsidR="00DA30E3" w:rsidRDefault="00DA30E3" w:rsidP="00DA30E3">
      <w:pPr>
        <w:spacing w:before="0" w:beforeAutospacing="0" w:after="0" w:afterAutospacing="0"/>
        <w:jc w:val="right"/>
        <w:divId w:val="700857383"/>
      </w:pPr>
      <w:r w:rsidRPr="001E1FAB">
        <w:rPr>
          <w:rFonts w:eastAsia="Times New Roman"/>
          <w:bCs/>
        </w:rPr>
        <w:t>округа Тольятти за 2022 год</w:t>
      </w:r>
    </w:p>
    <w:tbl>
      <w:tblPr>
        <w:tblW w:w="4500" w:type="pct"/>
        <w:jc w:val="center"/>
        <w:tblCellMar>
          <w:top w:w="15" w:type="dxa"/>
          <w:left w:w="15" w:type="dxa"/>
          <w:bottom w:w="15" w:type="dxa"/>
          <w:right w:w="15" w:type="dxa"/>
        </w:tblCellMar>
        <w:tblLook w:val="04A0" w:firstRow="1" w:lastRow="0" w:firstColumn="1" w:lastColumn="0" w:noHBand="0" w:noVBand="1"/>
      </w:tblPr>
      <w:tblGrid>
        <w:gridCol w:w="13140"/>
      </w:tblGrid>
      <w:tr w:rsidR="00C51BD7">
        <w:trPr>
          <w:divId w:val="700857383"/>
          <w:jc w:val="center"/>
        </w:trPr>
        <w:tc>
          <w:tcPr>
            <w:tcW w:w="0" w:type="auto"/>
            <w:tcBorders>
              <w:top w:val="nil"/>
              <w:left w:val="nil"/>
              <w:bottom w:val="nil"/>
              <w:right w:val="nil"/>
            </w:tcBorders>
            <w:vAlign w:val="center"/>
            <w:hideMark/>
          </w:tcPr>
          <w:p w:rsidR="00DA30E3" w:rsidRDefault="00DA30E3" w:rsidP="00DA30E3">
            <w:pPr>
              <w:pStyle w:val="6"/>
              <w:spacing w:before="0" w:beforeAutospacing="0" w:after="0" w:afterAutospacing="0"/>
              <w:rPr>
                <w:b/>
                <w:bCs/>
              </w:rPr>
            </w:pPr>
          </w:p>
          <w:p w:rsidR="00DA30E3" w:rsidRDefault="006F5BF1" w:rsidP="00DA30E3">
            <w:pPr>
              <w:pStyle w:val="6"/>
              <w:spacing w:before="0" w:beforeAutospacing="0" w:after="0" w:afterAutospacing="0"/>
              <w:rPr>
                <w:b/>
                <w:bCs/>
              </w:rPr>
            </w:pPr>
            <w:r>
              <w:rPr>
                <w:b/>
                <w:bCs/>
              </w:rPr>
              <w:t>Информация о результатах рассмотрения рекомендаций</w:t>
            </w:r>
            <w:r>
              <w:rPr>
                <w:b/>
                <w:bCs/>
              </w:rPr>
              <w:br/>
              <w:t>в адрес главы городского округа и администрации городского округа</w:t>
            </w:r>
            <w:r>
              <w:rPr>
                <w:b/>
                <w:bCs/>
              </w:rPr>
              <w:br/>
              <w:t>по итогам рассмотрения ежегодного отчета главы городского округа Тольятти</w:t>
            </w:r>
            <w:r>
              <w:rPr>
                <w:b/>
                <w:bCs/>
              </w:rPr>
              <w:br/>
              <w:t xml:space="preserve">о результатах его деятельности и деятельности администрации </w:t>
            </w:r>
          </w:p>
          <w:p w:rsidR="00DA30E3" w:rsidRDefault="006F5BF1" w:rsidP="00DA30E3">
            <w:pPr>
              <w:pStyle w:val="6"/>
              <w:spacing w:before="0" w:beforeAutospacing="0" w:after="0" w:afterAutospacing="0"/>
              <w:rPr>
                <w:b/>
                <w:bCs/>
              </w:rPr>
            </w:pPr>
            <w:r>
              <w:rPr>
                <w:b/>
                <w:bCs/>
              </w:rPr>
              <w:t>городского округа Тольятти за 2021 год</w:t>
            </w:r>
            <w:r w:rsidR="00DA30E3">
              <w:rPr>
                <w:b/>
                <w:bCs/>
              </w:rPr>
              <w:t xml:space="preserve"> </w:t>
            </w:r>
          </w:p>
          <w:p w:rsidR="00C51BD7" w:rsidRDefault="00DA30E3" w:rsidP="00DA30E3">
            <w:pPr>
              <w:pStyle w:val="6"/>
              <w:spacing w:before="0" w:beforeAutospacing="0" w:after="0" w:afterAutospacing="0"/>
            </w:pPr>
            <w:r w:rsidRPr="00931C22">
              <w:rPr>
                <w:rFonts w:eastAsia="Times New Roman"/>
              </w:rPr>
              <w:t>(решение Думы городского округа Тольятти от 08.06.2022 № 1302)</w:t>
            </w:r>
          </w:p>
        </w:tc>
      </w:tr>
    </w:tbl>
    <w:p w:rsidR="00C51BD7" w:rsidRDefault="00C51BD7" w:rsidP="00DA30E3">
      <w:pPr>
        <w:pStyle w:val="a3"/>
        <w:spacing w:before="120" w:beforeAutospacing="0" w:after="120" w:afterAutospacing="0"/>
        <w:jc w:val="center"/>
        <w:divId w:val="700857383"/>
        <w:rPr>
          <w:rFonts w:ascii="Verdana" w:hAnsi="Verdana"/>
          <w:sz w:val="18"/>
          <w:szCs w:val="18"/>
        </w:rPr>
      </w:pPr>
    </w:p>
    <w:tbl>
      <w:tblPr>
        <w:tblW w:w="45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95"/>
        <w:gridCol w:w="3969"/>
        <w:gridCol w:w="8657"/>
      </w:tblGrid>
      <w:tr w:rsidR="00C51BD7" w:rsidTr="0027565C">
        <w:trPr>
          <w:divId w:val="700857383"/>
          <w:tblHeader/>
          <w:jc w:val="center"/>
        </w:trPr>
        <w:tc>
          <w:tcPr>
            <w:tcW w:w="225" w:type="pct"/>
            <w:tcBorders>
              <w:top w:val="outset" w:sz="6" w:space="0" w:color="000000"/>
              <w:left w:val="outset" w:sz="6" w:space="0" w:color="000000"/>
              <w:bottom w:val="outset" w:sz="6" w:space="0" w:color="000000"/>
              <w:right w:val="outset" w:sz="6" w:space="0" w:color="000000"/>
            </w:tcBorders>
            <w:vAlign w:val="center"/>
            <w:hideMark/>
          </w:tcPr>
          <w:p w:rsidR="00C51BD7" w:rsidRDefault="006F5BF1">
            <w:pPr>
              <w:pStyle w:val="1"/>
              <w:jc w:val="center"/>
            </w:pPr>
            <w:r>
              <w:t xml:space="preserve">№ </w:t>
            </w:r>
          </w:p>
        </w:tc>
        <w:tc>
          <w:tcPr>
            <w:tcW w:w="1501" w:type="pct"/>
            <w:tcBorders>
              <w:top w:val="outset" w:sz="6" w:space="0" w:color="000000"/>
              <w:left w:val="outset" w:sz="6" w:space="0" w:color="000000"/>
              <w:bottom w:val="outset" w:sz="6" w:space="0" w:color="000000"/>
              <w:right w:val="outset" w:sz="6" w:space="0" w:color="000000"/>
            </w:tcBorders>
            <w:vAlign w:val="center"/>
            <w:hideMark/>
          </w:tcPr>
          <w:p w:rsidR="00C51BD7" w:rsidRDefault="006F5BF1">
            <w:pPr>
              <w:pStyle w:val="1"/>
              <w:jc w:val="center"/>
            </w:pPr>
            <w:r>
              <w:t>Рекомендации</w:t>
            </w:r>
          </w:p>
        </w:tc>
        <w:tc>
          <w:tcPr>
            <w:tcW w:w="3274" w:type="pct"/>
            <w:tcBorders>
              <w:top w:val="outset" w:sz="6" w:space="0" w:color="000000"/>
              <w:left w:val="outset" w:sz="6" w:space="0" w:color="000000"/>
              <w:bottom w:val="outset" w:sz="6" w:space="0" w:color="000000"/>
              <w:right w:val="outset" w:sz="6" w:space="0" w:color="000000"/>
            </w:tcBorders>
            <w:vAlign w:val="center"/>
            <w:hideMark/>
          </w:tcPr>
          <w:p w:rsidR="00C51BD7" w:rsidRPr="00C85655" w:rsidRDefault="006F5BF1">
            <w:pPr>
              <w:pStyle w:val="1"/>
              <w:jc w:val="center"/>
            </w:pPr>
            <w:r w:rsidRPr="00C85655">
              <w:t>Информация о результатах рассмотрения рекомендаций по итогам 2022 года</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vAlign w:val="center"/>
            <w:hideMark/>
          </w:tcPr>
          <w:p w:rsidR="00C51BD7" w:rsidRDefault="006F5BF1">
            <w:pPr>
              <w:pStyle w:val="3"/>
            </w:pPr>
            <w:r>
              <w:rPr>
                <w:b/>
                <w:bCs/>
              </w:rPr>
              <w:t>1</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rPr>
                <w:b/>
                <w:bCs/>
              </w:rPr>
              <w:t>Рекомендовать:</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pPr>
              <w:pStyle w:val="3"/>
            </w:pPr>
            <w:r w:rsidRPr="00C85655">
              <w:t>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1.1</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принять все возможные меры к уменьшению объема бюджетных расходов на обслуживание муниципального долга и увеличению доли бюджетных кредитов в кредитном портфеле городского округа Тольятти;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Экономия расходов на обслуживание муниципального долга в 2022 году составила 192 123 тыс. руб. (пе</w:t>
            </w:r>
            <w:r w:rsidR="00C85F24">
              <w:t>рвоначальный план -420 040 тыс.</w:t>
            </w:r>
            <w:r w:rsidR="00C85F24">
              <w:rPr>
                <w:lang w:val="en-US"/>
              </w:rPr>
              <w:t> </w:t>
            </w:r>
            <w:r w:rsidRPr="00C85655">
              <w:t>руб., фактическое исполнение – 227 917 тыс. руб.).</w:t>
            </w:r>
            <w:r w:rsidRPr="00C85655">
              <w:br/>
            </w:r>
            <w:proofErr w:type="gramStart"/>
            <w:r w:rsidRPr="00C85655">
              <w:t>За 2022 год привлечено три транша бюджетного кредита из федерального бюджета на общую сумму 1 412 129 тыс. руб., сроком до 239 дней, под 0,1% годовых.</w:t>
            </w:r>
            <w:r w:rsidRPr="00C85655">
              <w:br/>
              <w:t>11.07.2022 привлечен бюджетный кредит в сумме 1 000 000 тыс. руб. из областного бюджета, за счет средств бюджетного кредита, полученного из федерального бюджета сроком до 30.06.2027 под 0,1% годовых.</w:t>
            </w:r>
            <w:proofErr w:type="gramEnd"/>
            <w:r w:rsidRPr="00C85655">
              <w:t xml:space="preserve"> Кредитные средства были направлены на погашение долговых обязательств по рыночным заимствованиям.</w:t>
            </w:r>
            <w:r w:rsidRPr="00C85655">
              <w:br/>
            </w:r>
            <w:proofErr w:type="gramStart"/>
            <w:r w:rsidRPr="00C85655">
              <w:t xml:space="preserve">В связи с привлечением указанного бюджетного кредита изменилась структура муниципального долга путем уменьшения суммы кредитов кредитных </w:t>
            </w:r>
            <w:r w:rsidRPr="00C85655">
              <w:lastRenderedPageBreak/>
              <w:t>организаций и увеличения суммы бюджетных кредитов на 1 000 000 тыс. руб.</w:t>
            </w:r>
            <w:r w:rsidRPr="00C85655">
              <w:br/>
              <w:t>Пунктом 7 статьи 107 Бюджетного кодекса Российской Федерации была установлена норма, ограничивающая годовую сумму платежей по погашению и обслуживанию муниципального долга уровнем не более 20% от общего объема доходов.</w:t>
            </w:r>
            <w:proofErr w:type="gramEnd"/>
            <w:r w:rsidRPr="00C85655">
              <w:t xml:space="preserve"> </w:t>
            </w:r>
            <w:r w:rsidRPr="00C85655">
              <w:br/>
            </w:r>
            <w:proofErr w:type="gramStart"/>
            <w:r w:rsidRPr="00C85655">
              <w:t xml:space="preserve">Общая сумма погашения по кредитным контрактам, которая приходится на 2023 год, составляла 2 900 000 тыс. руб., в том числе сумма, превышающая норматив в 20% - 1 900 000 тыс. руб. Следуя установленной норме Бюджетного кодекса Российской Федерации, в конце 2022 года планировалась </w:t>
            </w:r>
            <w:proofErr w:type="spellStart"/>
            <w:r w:rsidRPr="00C85655">
              <w:t>перекредитовка</w:t>
            </w:r>
            <w:proofErr w:type="spellEnd"/>
            <w:r w:rsidRPr="00C85655">
              <w:t xml:space="preserve"> контрактов со ставкой кредитования 6,3% годовых на сумму, превышающую норматив, что привело бы к росту расходов на</w:t>
            </w:r>
            <w:proofErr w:type="gramEnd"/>
            <w:r w:rsidRPr="00C85655">
              <w:t xml:space="preserve"> обслуживание муниципального долга.</w:t>
            </w:r>
            <w:r w:rsidRPr="00C85655">
              <w:br/>
              <w:t xml:space="preserve">В связи с этим в Государственную Думу (Симановскому Л.Я.) и в Правительство </w:t>
            </w:r>
            <w:r w:rsidR="0096444B" w:rsidRPr="0096444B">
              <w:t>Российской Федерации</w:t>
            </w:r>
            <w:r w:rsidRPr="00C85655">
              <w:t xml:space="preserve"> (</w:t>
            </w:r>
            <w:proofErr w:type="spellStart"/>
            <w:r w:rsidRPr="00C85655">
              <w:t>Мишустину</w:t>
            </w:r>
            <w:proofErr w:type="spellEnd"/>
            <w:r w:rsidRPr="00C85655">
              <w:t xml:space="preserve"> М.В.) были направлены письма с просьбой о приостановлении пункта 7 статьи 107 Бюджетного кодекса. </w:t>
            </w:r>
            <w:r w:rsidRPr="00C85655">
              <w:br/>
            </w:r>
            <w:proofErr w:type="gramStart"/>
            <w:r w:rsidRPr="00C85655">
              <w:t>Результатом указанных обращений является отмена данного пункта Федеральным законом от 10.11.2022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roofErr w:type="gramEnd"/>
            <w:r w:rsidRPr="00C85655">
              <w:t xml:space="preserve"> </w:t>
            </w:r>
            <w:proofErr w:type="spellStart"/>
            <w:r w:rsidRPr="00C85655">
              <w:t>Перекредитовка</w:t>
            </w:r>
            <w:proofErr w:type="spellEnd"/>
            <w:r w:rsidRPr="00C85655">
              <w:t xml:space="preserve"> муниципальных контрактов на привлечение кредитных ресурсов в сумме 1 900 000 тыс. руб. не производилась.</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1.2</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улучшению экономической ситуации в городском округе Тольятти в целях повышения заработной платы категориям граждан, получающим заработную плату ниже средней заработной платы общероссийского </w:t>
            </w:r>
            <w:r>
              <w:lastRenderedPageBreak/>
              <w:t xml:space="preserve">уровня; </w:t>
            </w:r>
          </w:p>
        </w:tc>
        <w:tc>
          <w:tcPr>
            <w:tcW w:w="3274" w:type="pct"/>
            <w:tcBorders>
              <w:top w:val="outset" w:sz="6" w:space="0" w:color="000000"/>
              <w:left w:val="outset" w:sz="6" w:space="0" w:color="000000"/>
              <w:bottom w:val="outset" w:sz="6" w:space="0" w:color="000000"/>
              <w:right w:val="outset" w:sz="6" w:space="0" w:color="000000"/>
            </w:tcBorders>
            <w:hideMark/>
          </w:tcPr>
          <w:p w:rsidR="00F155B7" w:rsidRDefault="00F155B7" w:rsidP="00F155B7">
            <w:pPr>
              <w:pStyle w:val="4"/>
              <w:spacing w:before="0" w:beforeAutospacing="0" w:after="0" w:afterAutospacing="0"/>
            </w:pPr>
            <w:r>
              <w:lastRenderedPageBreak/>
              <w:t>Органы государственной власти, а также органы местного самоуправления не оказывают влияние на уровень оплаты труда работников внебюджетных организаций, которые занимают основную долю среди всех организаций городского округа Тольятти.</w:t>
            </w:r>
          </w:p>
          <w:p w:rsidR="00C51BD7" w:rsidRPr="00C85655" w:rsidRDefault="00F155B7" w:rsidP="00F155B7">
            <w:pPr>
              <w:pStyle w:val="4"/>
              <w:spacing w:before="0" w:beforeAutospacing="0" w:after="0" w:afterAutospacing="0"/>
              <w:jc w:val="left"/>
            </w:pPr>
            <w:r>
              <w:t>По данным Территориального органа федеральной службы государственной статистики по Самарской области (</w:t>
            </w:r>
            <w:proofErr w:type="spellStart"/>
            <w:r>
              <w:t>Самарастат</w:t>
            </w:r>
            <w:proofErr w:type="spellEnd"/>
            <w:r>
              <w:t xml:space="preserve">) за 2022 год заработная плата работников организаций городского округа Тольятти, не относящихся к субъектам </w:t>
            </w:r>
            <w:r>
              <w:lastRenderedPageBreak/>
              <w:t>малого предпринимательства, выросла на 8,2% и составила 50960 рублей (у 146 тыс. работников). Это ниже, чем по Самарской области (53436 руб.). В рейтинге городских округов Самарской области по данному показателю городской округ Тольятти занял 4 место. Реальная заработная плата (темп роста с учетом индекса потребительских цен) составила 94,8% к 2021 году.</w:t>
            </w:r>
            <w:r w:rsidR="006F5BF1" w:rsidRPr="00C85655">
              <w:br/>
            </w:r>
            <w:proofErr w:type="gramStart"/>
            <w:r w:rsidR="006F5BF1" w:rsidRPr="00C85655">
              <w:t>В 2022 году обеспечено повышение минимального размера оплаты труда работников бюджетной сферы городского округа Тольятти до 13 890 руб. с 01.01.2022, до 15 279 руб. с 01.06.2022 за счет средств бюджета городского округа Тольятти в сумме 89 136 тыс. руб.</w:t>
            </w:r>
            <w:r w:rsidR="006F5BF1" w:rsidRPr="00C85655">
              <w:br/>
              <w:t>Обеспечено исполнение Указов Президента Российской Федерации от 7 мая 2012 года № 597 «О мероприятиях по реализации государственной социальной политики», от</w:t>
            </w:r>
            <w:proofErr w:type="gramEnd"/>
            <w:r w:rsidR="006F5BF1" w:rsidRPr="00C85655">
              <w:t xml:space="preserve"> </w:t>
            </w:r>
            <w:proofErr w:type="gramStart"/>
            <w:r w:rsidR="006F5BF1" w:rsidRPr="00C85655">
              <w:t>1 июня 2012 года № 761 «О национальной стратегии действий в интересах детей на 2012-2017 годы» в части доведения в 2022 году средней заработной платы работников учреждений культуры до средней заработной платы от трудовой деятельности в Самарской области, средней заработной платы преподавателей учреждений дополнительного образования детей до средней заработной платы учителей в Самарской области.</w:t>
            </w:r>
            <w:proofErr w:type="gramEnd"/>
            <w:r w:rsidR="006F5BF1" w:rsidRPr="00C85655">
              <w:t xml:space="preserve"> За счет средств городского округа на эти цели было предусмотрено 71 664 тыс. руб. Кроме того, финансирование расходов осуществлялось за счет средств дотаций на поддержку мер по обеспечению сбалансированности местных бюджетов областного бюджета.</w:t>
            </w:r>
            <w:r w:rsidR="006F5BF1" w:rsidRPr="00C85655">
              <w:br/>
            </w:r>
            <w:proofErr w:type="gramStart"/>
            <w:r w:rsidR="006F5BF1" w:rsidRPr="00C85655">
              <w:t xml:space="preserve">Во исполнение решения Губернатора </w:t>
            </w:r>
            <w:r w:rsidR="0096444B" w:rsidRPr="0096444B">
              <w:t xml:space="preserve">Самарской области </w:t>
            </w:r>
            <w:r w:rsidR="006F5BF1" w:rsidRPr="00C85655">
              <w:t>Д.И. Азарова о дополнительной поддержке педагогических работников учреждений дополнительного образования ко Дню учителя в виде единовременной выплаты за счет средств городского округа Тольятти было предусмотрено 6 419 тыс. руб.</w:t>
            </w:r>
            <w:r w:rsidR="006F5BF1" w:rsidRPr="00C85655">
              <w:br/>
              <w:t>Обеспечена индексация заработной платы работникам бюджетной сферы городского округа Тольятти, на которых не распространяются Указы Президента Российской Федерации, и работников органов местного самоуправления, на</w:t>
            </w:r>
            <w:proofErr w:type="gramEnd"/>
            <w:r w:rsidR="006F5BF1" w:rsidRPr="00C85655">
              <w:t xml:space="preserve"> 5,8% с 01.01.2022 и на 2,8% с 01.10.2022. На эти цели в бюджете городского округа Тольятти были предусмотрены средства в сумме 164 667 тыс. руб.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1.3</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представить в Думу городского округа Тольятти информацию о </w:t>
            </w:r>
            <w:r>
              <w:lastRenderedPageBreak/>
              <w:t>количестве жителей городского округа Тольятти, получивших среднюю заработную плату (доход) в месяц за 2021 год:</w:t>
            </w:r>
            <w:r>
              <w:br/>
              <w:t>- до 15 тыс</w:t>
            </w:r>
            <w:proofErr w:type="gramStart"/>
            <w:r>
              <w:t>.р</w:t>
            </w:r>
            <w:proofErr w:type="gramEnd"/>
            <w:r>
              <w:t>уб.;</w:t>
            </w:r>
            <w:r>
              <w:br/>
              <w:t>- от 15 тыс.руб. до 20 тыс.руб.;</w:t>
            </w:r>
            <w:r>
              <w:br/>
              <w:t>- от 20 тыс.руб. до 30 тыс.руб.;</w:t>
            </w:r>
            <w:r>
              <w:br/>
              <w:t>- от 30 тыс.руб. до 40 тыс.руб.;</w:t>
            </w:r>
            <w:r>
              <w:br/>
              <w:t>- от 40 тыс.руб. до 70 тыс.руб.;</w:t>
            </w:r>
            <w:r>
              <w:br/>
              <w:t>- от 70 тыс</w:t>
            </w:r>
            <w:proofErr w:type="gramStart"/>
            <w:r>
              <w:t>.р</w:t>
            </w:r>
            <w:proofErr w:type="gramEnd"/>
            <w:r>
              <w:t>уб. до 200 тыс.руб.;</w:t>
            </w:r>
            <w:r>
              <w:br/>
              <w:t>- от 200 тыс.руб. до 500 тыс.руб.,</w:t>
            </w:r>
            <w:r>
              <w:br/>
              <w:t>- от 500 тыс.руб. до 1 млн руб.;</w:t>
            </w:r>
            <w:r>
              <w:br/>
              <w:t xml:space="preserve">- свыше 1 млн руб.;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lastRenderedPageBreak/>
              <w:t xml:space="preserve">В соответствии с законодательством Российской Федерации расчет показателя среднемесячной номинальной заработной платы работников организаций в </w:t>
            </w:r>
            <w:r w:rsidRPr="00C85655">
              <w:lastRenderedPageBreak/>
              <w:t>разрезе муниципальных образований осуществляется Федеральной службой государственной статистики (Росстат) в отношении работников организаций, не относящихся к субъектам малого предпринимательства.</w:t>
            </w:r>
            <w:r w:rsidRPr="00C85655">
              <w:br/>
              <w:t xml:space="preserve">Показатели предоставляются Росстатом также в разрезе видов экономической деятельности. По категориям работников и денежным интервалам показатель заработной платы органами статистики не формируется (подробная информация о методике расчета показателя и его значений Вы размещена на официальном сайте Росстата и </w:t>
            </w:r>
            <w:proofErr w:type="spellStart"/>
            <w:r w:rsidRPr="00C85655">
              <w:t>Самарастата</w:t>
            </w:r>
            <w:proofErr w:type="spellEnd"/>
            <w:r w:rsidRPr="00C85655">
              <w:t xml:space="preserve"> по ссылкам: https://rosstat.gov.ru/, https://samarastat.gks.ru/). </w:t>
            </w:r>
            <w:r w:rsidRPr="00C85655">
              <w:br/>
            </w:r>
            <w:proofErr w:type="gramStart"/>
            <w:r w:rsidRPr="00C85655">
              <w:t>В целях получения требуемой информации, администрацией городского округа Тольятти были подготовлены и направлены запросы в Межрайонные ИФНС России №2 и №15 по Самарской области от 17.06.2022 о предоставлении информации о количестве жителей городского округа Тольятти и размере получаемой ими среднемесячной заработной платы за 2021 год.</w:t>
            </w:r>
            <w:proofErr w:type="gramEnd"/>
            <w:r w:rsidRPr="00C85655">
              <w:t xml:space="preserve"> В итоге получен отказ в предоставлении такой информации ввиду отсутствия у налоговых органов технической возможности произвести расчет.</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1.4</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осуществлению </w:t>
            </w:r>
            <w:proofErr w:type="gramStart"/>
            <w:r>
              <w:t>контроля за</w:t>
            </w:r>
            <w:proofErr w:type="gramEnd"/>
            <w:r>
              <w:t xml:space="preserve"> эффективным использованием муниципального имущества, находящегося в муниципальной казне, в хозяйственном ведении муниципальных предприятий, в оперативном управлении муниципальных учреждений, а также внесенного в качестве вклада в уставные капиталы акционерных обществ;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 xml:space="preserve">В целях надлежащего </w:t>
            </w:r>
            <w:proofErr w:type="gramStart"/>
            <w:r w:rsidRPr="00C85655">
              <w:t>контроля за</w:t>
            </w:r>
            <w:proofErr w:type="gramEnd"/>
            <w:r w:rsidRPr="00C85655">
              <w:t xml:space="preserve"> использованием имущества, переданного в оперативное управление и хозяйственное ведение, в течение 2022 года проведены осмотры 130 объектов недвижимого имущества, закрепленного за муниципальными учреждениями и муниципальными предприятиями, на предмет их использования по назначению. </w:t>
            </w:r>
            <w:proofErr w:type="gramStart"/>
            <w:r w:rsidRPr="00C85655">
              <w:t>Управление акциями, находящимися в муниципальной собственности городского округа Тольятти, осуществляется через представителей городского округа Тольятти в советах директоров акционерных обществ в соответствии с Порядком представления интересов городского округа Тольятти в органах управления хозяйственных обществ, акции (доли) которых находятся в муниципальной собственности, утвержденному постановлением мэрии городского округа Тольятти от 30.03.2016 № 936-п/1.</w:t>
            </w:r>
            <w:proofErr w:type="gramEnd"/>
            <w:r w:rsidRPr="00C85655">
              <w:br/>
              <w:t>Представители городского округа Тольятти непосредственно участвуют в заседаниях советов директоров, в годовых общих собраниях. На заседаниях советов директоров рассматриваются вопросы по определению приоритетных направлений деятельности обществ, а также мероприятия по повышению эффективности деятельности обществ.</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1.5</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proofErr w:type="gramStart"/>
            <w:r>
              <w:t>продолжить работу по сокращению суммы задолженности за использование муниципального имущества, находящегося в казне, и за земельные участки, находящиеся в муниципальной собственности, а также за земельные участки, государственная собственность на которые не разграничена и которые расположены в границах городского округа Тольятти, в том числе в судебном порядке, в целях увеличения доходной части бюджета (с учетом сложившейся судебной практики в части взыскания</w:t>
            </w:r>
            <w:proofErr w:type="gramEnd"/>
            <w:r>
              <w:t xml:space="preserve"> с администрации городского округа Тольятти денежных средств за неосновательное обогащение; сроков исковой давности);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704FAB">
            <w:pPr>
              <w:pStyle w:val="4"/>
              <w:jc w:val="left"/>
            </w:pPr>
            <w:r w:rsidRPr="00C85655">
              <w:t>Департамент градостроительной деятельности:</w:t>
            </w:r>
            <w:r w:rsidRPr="00C85655">
              <w:br/>
              <w:t>Задолженность по договорам аренды земельных участков снизилась на 4,5% (на 01.01.2022 составляла 428 734,9 тыс. руб., на 01.01.2023 – 409234,8 тыс. руб.).</w:t>
            </w:r>
            <w:r w:rsidRPr="00C85655">
              <w:br/>
              <w:t xml:space="preserve">В целях сокращения суммы задолженности и увеличения доходной части бюджета должникам по договорам аренды земельных участков направлено 3353 претензии на общую сумму 253747,1 тыс. руб. (в том числе задолженность по арендной плате 217643,7 тыс. руб.). Из них в добровольном порядке оплачено 60276,4 тыс. руб. </w:t>
            </w:r>
            <w:r w:rsidRPr="00C85655">
              <w:br/>
              <w:t>Для оплаты за использование земельных участков без договорных отношений направлено 3911 претензий на сумму 118449,00 тыс. руб., из них добровольно оплачено 27940,4 тыс. руб.</w:t>
            </w:r>
            <w:r w:rsidRPr="00C85655">
              <w:br/>
              <w:t>В случае отсутствия оплаты формировался пакет документов для обращения в суд.</w:t>
            </w:r>
            <w:r w:rsidRPr="00C85655">
              <w:br/>
            </w:r>
            <w:proofErr w:type="gramStart"/>
            <w:r w:rsidRPr="00C85655">
              <w:t>Для взыскания задолженности по договорам аренды земельных участков подготовлено и направлено 222 исковых заявления в суд на общую сумму 47297,30 тыс. руб. Вынесено 182 судебных решения на сумму 22497,00 тыс. руб.</w:t>
            </w:r>
            <w:r w:rsidRPr="00C85655">
              <w:br/>
              <w:t>Для взыскания сумм неосновательного обогащения за незаконное использование земельных участков подготовлено и направлено 1136 исковых заявления в суд на общую сумму 83858,4 тыс. руб. Вынесено 1072 судебных решения на</w:t>
            </w:r>
            <w:proofErr w:type="gramEnd"/>
            <w:r w:rsidRPr="00C85655">
              <w:t xml:space="preserve"> сумму 30251,4 тыс. руб.</w:t>
            </w:r>
            <w:r w:rsidRPr="00C85655">
              <w:br/>
              <w:t>За 2022 год поступили денежные средства, взысканные по решениям суда по договорам аренды земельных участков в сумме 15550,5 тыс. руб., за незаконное использование земельных участков в сумме 27644,6 тыс. руб.</w:t>
            </w:r>
            <w:r w:rsidRPr="00C85655">
              <w:br/>
              <w:t>Департамент управления муниципальным имуществом:</w:t>
            </w:r>
            <w:r w:rsidRPr="00C85655">
              <w:br/>
              <w:t xml:space="preserve">Задолженность по договорам аренды нежилых зданий, помещений, сооружений по состоянию на 01.01.2023 составила 6 691,00 тыс. руб., в том числе: - 2 818,00 тыс. руб. задолженность по арендной плате, взысканная по решениям суда, но не оплаченная должниками; - 2 054,00 тыс. руб. реестровая задолженность лиц, находящихся в стадии банкротства. </w:t>
            </w:r>
            <w:proofErr w:type="gramStart"/>
            <w:r w:rsidRPr="00C85655">
              <w:t xml:space="preserve">В сравнении с 2021 годом задолженность снизилась на 8 923,00 тыс. руб. (по состоянию на 01.01.2021 задолженность составляла 15 614,00 тыс. руб.) В целях сокращения суммы задолженности и увеличения доходной части бюджета направлено 89 претензий на общую сумму 2 </w:t>
            </w:r>
            <w:r w:rsidRPr="00C85655">
              <w:lastRenderedPageBreak/>
              <w:t>812,00 тыс. руб. (в том числе задолженность по арендной плате - 2 482,00 тыс. руб.), из них в добровольном порядке оплачено 1</w:t>
            </w:r>
            <w:proofErr w:type="gramEnd"/>
            <w:r w:rsidRPr="00C85655">
              <w:t xml:space="preserve"> </w:t>
            </w:r>
            <w:proofErr w:type="gramStart"/>
            <w:r w:rsidRPr="00C85655">
              <w:t>675,00 тыс. руб. Для взыскания задолженности подготовлено и направлено 11 исковых заявлений в суд на общую сумму 648,00 тыс. руб. Вынесено судебных решений 11 на сумму 510,00 тыс. руб. Поступило в погашение взысканной по суду задолженности 961,00 тыс. руб.: - по договорам недвижимого имущества – 278,00 тыс. руб.;- за фактическое пользование – 683,00 тыс. руб. В рамках исковой работы по существующей задолженности за</w:t>
            </w:r>
            <w:proofErr w:type="gramEnd"/>
            <w:r w:rsidRPr="00C85655">
              <w:t xml:space="preserve"> </w:t>
            </w:r>
            <w:proofErr w:type="gramStart"/>
            <w:r w:rsidRPr="00C85655">
              <w:t>пользование (наём) муниципальных жилых помещений администрацией городского округа Тольятти направлено в суд 750 заявлений о выдаче судебного приказа о взыскании задолженности на сумму 21 481,00 тыс.</w:t>
            </w:r>
            <w:r w:rsidR="00704FAB">
              <w:t> </w:t>
            </w:r>
            <w:r w:rsidRPr="00C85655">
              <w:t>руб. Вынесено судебных решений о взыскании задолженности на сумму 14 475,00 тыс. руб. Во исполнение вынесенных решений суда о взыскании задолженности за наём в бюджет городского округа Тольятти поступили денежные средства в сумме 7</w:t>
            </w:r>
            <w:proofErr w:type="gramEnd"/>
            <w:r w:rsidRPr="00C85655">
              <w:t xml:space="preserve"> 801,00 тыс. руб.</w:t>
            </w:r>
            <w:r w:rsidRPr="00C85655">
              <w:br/>
              <w:t>Отдел развития потребительского рынка:</w:t>
            </w:r>
            <w:r w:rsidRPr="00C85655">
              <w:br/>
              <w:t xml:space="preserve">Задолженность по договорам аренды земельных участков снизилась на 15.2% (на 01.01.2022 задолженность - 66 782,94 тыс. руб. на 01.01.2023 – 56 623,02 тыс. руб.). В целях сокращения суммы задолженности и увеличения доходной части бюджета направлено 105 претензий на общую сумму 8 723,45 тыс. руб. (в том числе задолженность по арендной плате 4 700,8 тыс. руб.). </w:t>
            </w:r>
            <w:r w:rsidRPr="00C85655">
              <w:br/>
              <w:t>Из них в добровольном порядке оплачено 1 235,26 тыс. руб. В случае отсутствия оплаты формировался пакет документов для обращения в суд. Подготовлены расчеты исков для взыскания задолженности в судебном порядке по 44 договорам аренды земельных участков на общую сумму на общую сумму 7 168,09 тыс. руб. (в том числе по арендной плате 4 052,99 тыс. руб.). Поступили денежные средства, взысканные по решениям суда по договорам аренды земельных участков в сумме 3 085,45 тыс. руб. (в том числе по арендной плате 1542,78 тыс. руб.)</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1.6</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оптимизации количества свободных (неиспользуемых) муниципальных помещений с целью уменьшения </w:t>
            </w:r>
            <w:r>
              <w:lastRenderedPageBreak/>
              <w:t xml:space="preserve">затрат на их содержание;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lastRenderedPageBreak/>
              <w:t>Объявлено 96 аукционов на право заключения договоров аренды нежилых помещений общей площадью 26 203,4 кв. м. За отчетный период по результатам торгов заключен 21 договор аренды. Сумма доходов от аренды всего имущества за 2022 год составляет 96 462,4 тыс.</w:t>
            </w:r>
            <w:r w:rsidR="00704FAB">
              <w:t> </w:t>
            </w:r>
            <w:r w:rsidRPr="00C85655">
              <w:t>руб.</w:t>
            </w:r>
            <w:r w:rsidRPr="00C85655">
              <w:br/>
            </w:r>
            <w:r w:rsidRPr="00C85655">
              <w:lastRenderedPageBreak/>
              <w:t>В Программу приватизации муниципального имущества городского округа Тольятти на 2022 год было включено, а именно:</w:t>
            </w:r>
            <w:r w:rsidRPr="00C85655">
              <w:br/>
              <w:t>- 25 объектов недвижимости (23 – аукцион, 2 – конкурс);</w:t>
            </w:r>
            <w:r w:rsidRPr="00C85655">
              <w:br/>
              <w:t xml:space="preserve">- 3 пакета акций. </w:t>
            </w:r>
            <w:r w:rsidRPr="00C85655">
              <w:br/>
            </w:r>
            <w:proofErr w:type="gramStart"/>
            <w:r w:rsidRPr="00C85655">
              <w:t>В целях реализации Программы приватизации муниципального имущества городского округа Тольятти на 2022 год было проведено:</w:t>
            </w:r>
            <w:r w:rsidRPr="00C85655">
              <w:br/>
              <w:t>- 77 торгов на продажу имущества, а именно:</w:t>
            </w:r>
            <w:r w:rsidR="00704FAB">
              <w:br/>
              <w:t>- 30 торгов первично (аукцион);</w:t>
            </w:r>
            <w:r w:rsidRPr="00C85655">
              <w:t xml:space="preserve"> </w:t>
            </w:r>
            <w:r w:rsidRPr="00C85655">
              <w:br/>
              <w:t>- 43 торгов повторно (37 – аукцион повторно и 6 – поср</w:t>
            </w:r>
            <w:r w:rsidR="00704FAB">
              <w:t>едством публичного предложения);</w:t>
            </w:r>
            <w:r w:rsidRPr="00C85655">
              <w:br/>
              <w:t>- 2 торго</w:t>
            </w:r>
            <w:r w:rsidR="00704FAB">
              <w:t>в первично (конкурс);</w:t>
            </w:r>
            <w:r w:rsidRPr="00C85655">
              <w:br/>
              <w:t>- 2 торгов повторно (конкурс);</w:t>
            </w:r>
            <w:r w:rsidRPr="00C85655">
              <w:br/>
              <w:t>- заключено 12 муниципальных контрактов на выполнение работ по определению рыночной стоимости 28 объектов.</w:t>
            </w:r>
            <w:proofErr w:type="gramEnd"/>
            <w:r w:rsidRPr="00C85655">
              <w:br/>
              <w:t xml:space="preserve">В результате: </w:t>
            </w:r>
            <w:r w:rsidRPr="00C85655">
              <w:br/>
              <w:t xml:space="preserve">- 4 объекта недвижимости; </w:t>
            </w:r>
            <w:r w:rsidRPr="00C85655">
              <w:br/>
              <w:t xml:space="preserve">- 1 пакет акций проданы; </w:t>
            </w:r>
            <w:r w:rsidRPr="00C85655">
              <w:br/>
              <w:t>- в отношении 1 объекта недвижимости (включенному в Программу приватизации муниципального имущества городского округа Тольятти на 2022 год, торги по которому были признаны несостоявшимися) проведен аукцион на право аренды.</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1.7</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принятию своевременных мер по наполнению доходной части бюджета городского округа от размещения рекламы в соответствии с полномочиями администрации городского округа Тольятти;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В 2022 году по действующим договорам на установку и эксплуатацию рекламных конструкций в бюджет городского округа Тольятти поступило 29 953 тыс. рублей (план – 37 563 тыс. рублей). Выполнение плана за 2022 год составляет 80%.</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1.8</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взаимодействие с министерством имущественных отношений Самарской области в отношении выявления и демонтажа </w:t>
            </w:r>
            <w:r>
              <w:lastRenderedPageBreak/>
              <w:t xml:space="preserve">незаконно установленных рекламных конструкций;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spacing w:after="240" w:afterAutospacing="0"/>
              <w:jc w:val="left"/>
            </w:pPr>
            <w:r w:rsidRPr="00C85655">
              <w:lastRenderedPageBreak/>
              <w:t>Администрацией городского округа Тольятти за 2022 год в министерство имущественных отношений Самарской области направлено 19 обращений по вопросу законности размещения 35 рекламных конструкций.</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1.9</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легализации незаконных автостоянок;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Администрацией не проводились аукционы на право заключения договора аренды земельного участка для размещения объекта временного использования – объекта хранения автомобильного транспорта.</w:t>
            </w:r>
            <w:r w:rsidRPr="00C85655">
              <w:br/>
              <w:t xml:space="preserve">Проводится постоянная работа по рассмотрению возможности легализации незаконных автостоянок на рабочей группе по определению возможности предоставления и выбора цели использования земельных участков, выставляемых на аукцион. Департаментом градостроительной деятельности были проанализированы 29 земельных участков, занятых автостоянками. </w:t>
            </w:r>
            <w:r w:rsidRPr="00C85655">
              <w:br/>
              <w:t>Все земельные участки оказались непригодны к легализации, путем проведения аукциона на право заключения договора аренды земельного участка, по причине несоответствия требованиям градостроительного регламента территориальной зоны, в границах которой расположен земельный участок.</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1.10</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выявлению на территории городского округа Тольятти бесхозяйных объектов капитального строительства, объектов, не эксплуатируемых длительное время, объектов незавершенного строительства с целью принятия возможных мер в соответствии с действующим законодательством Российской Федерации по сокращению количества данных объектов на территории городского округа Тольятти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Администрацией городского округа Тольятти на постоянной основе проводится работа по сокращению количества объектов незавершенного строительства и объектов, не эксплуатируемых длительное время, расположенных на территории городского округа Тольятти.</w:t>
            </w:r>
            <w:r w:rsidRPr="00C85655">
              <w:br/>
              <w:t>Администрация городского округа Тольятти находится в постоянном взаимодействии с правообладателями объектов и земельных участков, на которых располагаются объекты по вопросам содержания объектов и их ограждений в надлежащем состоянии, не угрожающем жизни и здоровью граждан. Ведется профилактическая работа с правообладателями по недопущению нарушений законодательства о градостроительной деятельности.</w:t>
            </w:r>
            <w:r w:rsidRPr="00C85655">
              <w:br/>
            </w:r>
            <w:proofErr w:type="gramStart"/>
            <w:r w:rsidRPr="00C85655">
              <w:t>В адрес правообладателей направляются уведомления о принятии мер по обеспечению соблюдения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а также о предоставлении информации о планируемых мероприятиях и сроках завершения строительства.</w:t>
            </w:r>
            <w:proofErr w:type="gramEnd"/>
            <w:r w:rsidRPr="00C85655">
              <w:br/>
            </w:r>
            <w:r w:rsidRPr="00C85655">
              <w:lastRenderedPageBreak/>
              <w:t>При отсутствии принятых мер правообладателями, информация о нарушениях направляется в уполномоченные органы (в прокуратуру, государственную инспекцию строительного надзора по Самарской области), для привлечения нарушителей к ответственности в соответствии с действующим законодательством.</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1.11</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В 2022 году на территории городского округа Тольятти в рамках реализации национального проекта «Демография» (федеральный проект «Содействия занятости женщин - создание условий дошкольного образования для детей в возрасте до тех лет») разрешением от 29.09.2022 № 63-09-8-2022 введен в эксплуатацию объект социального назначения: «Детский сад Л ДС-2 в составе 2 этапа строительства комплекса зданий и сооружений жилищного и социального назначения». В рамках реализации национального проекта «Образование» (федеральный проект «Современная школа») продолжалось строительство объекта социального назначения: «Строительство общеобразовательной школы на 1600 мест, расположенной по адресу: Самарская область, г. Тольятти, Автозаводский район, квартал 20».</w:t>
            </w:r>
            <w:r w:rsidRPr="00C85655">
              <w:br/>
              <w:t>Строительно-монтажные работы на объекте выполнен</w:t>
            </w:r>
            <w:proofErr w:type="gramStart"/>
            <w:r w:rsidRPr="00C85655">
              <w:t>ы ООО</w:t>
            </w:r>
            <w:proofErr w:type="gramEnd"/>
            <w:r w:rsidRPr="00C85655">
              <w:t xml:space="preserve"> «</w:t>
            </w:r>
            <w:proofErr w:type="spellStart"/>
            <w:r w:rsidRPr="00C85655">
              <w:t>Стройнефть</w:t>
            </w:r>
            <w:proofErr w:type="spellEnd"/>
            <w:r w:rsidRPr="00C85655">
              <w:t>» в полном объеме. Ввод объекта в эксплуатацию планируется в 2023 году.</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1.12</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принять меры по разработке требований к внешнему облику и конструктивному решению нестационарных объектов и ярмарочных мест на муниципальных ярмарках (с учетом единообразного цветового решения, благоустройства прилегающей территории, устройства временных парковок при наличии свободной территории), а также меры по соблюдению вышеуказанных требований;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proofErr w:type="gramStart"/>
            <w:r w:rsidRPr="00C85655">
              <w:t xml:space="preserve">Приказом министерства промышленности и торговли Самарской области от 03.09.2021 № 56-п утверждены Методические рекомендации по регулированию внешнего вида нестационарного торгового объекта в правилах благоустройства территории муниципального образования (далее – Методические рекомендации). </w:t>
            </w:r>
            <w:r w:rsidRPr="00C85655">
              <w:br/>
              <w:t>07.11.2022 письмом № 59919-вн/1.7 управлением потребительского рынка в адрес департамента городского хозяйства были направлены предложения для внесения в Правила благоустройства территории городского округа Тольятти, утвержденные решением Думы городского округа Тольятти от</w:t>
            </w:r>
            <w:proofErr w:type="gramEnd"/>
            <w:r w:rsidRPr="00C85655">
              <w:t xml:space="preserve"> 04.07.2018 № 1789, подготовленные на основании Методических рекомендаций, со ссылкой на статьи в части установления требований к внешнему виду и конструктивному решению нестационарных торговых объектов.</w:t>
            </w:r>
            <w:r w:rsidRPr="00C85655">
              <w:br/>
              <w:t xml:space="preserve">Порядок организации ярмарочной деятельности на территории Самарской области, утвержден Постановлением Правительства Самарской области от </w:t>
            </w:r>
            <w:r w:rsidRPr="00C85655">
              <w:lastRenderedPageBreak/>
              <w:t>22.12.2010 №</w:t>
            </w:r>
            <w:r w:rsidR="00E02148">
              <w:t> </w:t>
            </w:r>
            <w:r w:rsidRPr="00C85655">
              <w:t xml:space="preserve">669. </w:t>
            </w:r>
            <w:r w:rsidRPr="00C85655">
              <w:br/>
              <w:t>В соответствии с Порядком:</w:t>
            </w:r>
            <w:r w:rsidRPr="00C85655">
              <w:br/>
              <w:t>- организатор ярмарки вправе возложить функцию по проведению ярмарки на юридическое лицо или индивидуального предпринимателя путем заключения с ним договора;</w:t>
            </w:r>
            <w:r w:rsidRPr="00C85655">
              <w:br/>
              <w:t>- проведение Конкурса по определению операторов ярмарок на территории Самарской области, обеспечивает конкурсная комиссия по проведению конкурса по определению операторов ярмарок на территории Самарской области.</w:t>
            </w:r>
            <w:r w:rsidRPr="00C85655">
              <w:br/>
            </w:r>
            <w:proofErr w:type="gramStart"/>
            <w:r w:rsidRPr="00C85655">
              <w:t xml:space="preserve">В связи с тем, что Проект организации и оформления ярмарки, предоставляемый участником на Конкурс по определению оператора ярмарки, является одним из важных критериев при определении победителя конкурсной комиссией, установить единые требования к внешнему облику и конструктивному решению ярмарочных мест на муниципальных ярмарках и внесения их в </w:t>
            </w:r>
            <w:r w:rsidR="006B09AC">
              <w:t>Правила благоустройства не пред</w:t>
            </w:r>
            <w:r w:rsidRPr="00C85655">
              <w:t>ставляется возможным.</w:t>
            </w:r>
            <w:proofErr w:type="gramEnd"/>
            <w:r w:rsidRPr="00C85655">
              <w:br/>
              <w:t>В целях улучшения внешнего облика города, а также добросовестности конкуренции, администрацией города форма договора о проведении ярмарки дополнена пунктом, предусматривающим возможность досрочного расторжения договора, в случае его неисполнения.</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1.13</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принять меры к созданию приютов для животных без владельцев на территории городского округа и обеспечение их функционирования за счет средств вышестоящих бюджетов либо с использованием механизмов </w:t>
            </w:r>
            <w:proofErr w:type="spellStart"/>
            <w:r>
              <w:t>муниципально</w:t>
            </w:r>
            <w:proofErr w:type="spellEnd"/>
            <w:r>
              <w:t xml:space="preserve">-частного и государственно-частного партнерства;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E02148">
            <w:pPr>
              <w:pStyle w:val="4"/>
              <w:jc w:val="left"/>
            </w:pPr>
            <w:r w:rsidRPr="00C85655">
              <w:t>Бюджетом Самарской области и городского округа Тольятти не предусмотрено выделение средств на мероприятия по созданию государственных или муниципальных приютов для животных.</w:t>
            </w:r>
            <w:r w:rsidRPr="00C85655">
              <w:br/>
              <w:t>Частные приюты для животных, которые осуществляют деятельность в области обращения с животными на территории Самарской области, самостоятельно принимают решение по размещению животных в своих приютах для дальнейшего их содержания или пристраивания.</w:t>
            </w:r>
            <w:r w:rsidRPr="00C85655">
              <w:br/>
              <w:t>В целях поддержки социально ориентированных некоммерческих организаций (далее - СОНКО), осуществляющих деятельность в сфере защиты животных, постановлением администрации городского округа Тольятти от 16.09.2021 №</w:t>
            </w:r>
            <w:r w:rsidR="00E02148">
              <w:t> </w:t>
            </w:r>
            <w:r w:rsidRPr="00C85655">
              <w:t xml:space="preserve">3107-п/1 утвержден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w:t>
            </w:r>
            <w:r w:rsidRPr="00C85655">
              <w:lastRenderedPageBreak/>
              <w:t>деятельностью в сфере животных.</w:t>
            </w:r>
            <w:r w:rsidRPr="00C85655">
              <w:br/>
              <w:t xml:space="preserve">Результаты деятельности администрации городского округа Тольятти </w:t>
            </w:r>
            <w:proofErr w:type="gramStart"/>
            <w:r w:rsidRPr="00C85655">
              <w:t>в отчетном периоде по финансовой поддержке социально ориентированных некоммерческих организаций на осуществление уставной деятельности в сфере защиты животных отражены в разделе</w:t>
            </w:r>
            <w:proofErr w:type="gramEnd"/>
            <w:r w:rsidRPr="00C85655">
              <w:t xml:space="preserve"> 3.1.28. настоящего Отчета.</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1.14</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принять меры по исполнению наказов избирателей депутатам Думы, включенных в Перечень наказов избирателей депутатам Думы городского округа Тольятти VII созыва, в части благоустройства внутриквартальных территорий городского округа Тольятти;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 xml:space="preserve">В рамках утвержденных муниципальных программ администрация городского округа Тольятти ежегодно выполняет работы по благоустройству внутриквартальных территорий в соответствии с адресными перечнями мероприятий, которые ежегодно формируются администрациями районов, совместно с депутатами Думы городского округа Тольятти по одномандатным избирательным округам, с учётом наказов избирателей депутатам Думы.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1.15</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увеличению количества действующих загородных детских оздоровительных лагерей, приведению в соответствие современным требованиям их материально-технической базы, увеличению охвата детей городского округа Тольятти отдыхом и оздоровлением в загородных детских оздоровительных лагерях;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r w:rsidRPr="00C85655">
              <w:t xml:space="preserve">В министерство социально-демографической и семейной политики Самарской области направлена заявка от 01.04.2022 № 2307/3 на предоставление субсидии на плановый период 2023-2025 годов из областного бюджета местным бюджетам в целях </w:t>
            </w:r>
            <w:proofErr w:type="spellStart"/>
            <w:r w:rsidRPr="00C85655">
              <w:t>софинансирования</w:t>
            </w:r>
            <w:proofErr w:type="spellEnd"/>
            <w:r w:rsidRPr="00C85655">
              <w:t xml:space="preserve"> расходных обязательств муниципальных образований по развитию инфраструктуры муниципальных учреждений отдыха и оздоровления детей.</w:t>
            </w:r>
            <w:r w:rsidRPr="00C85655">
              <w:br/>
              <w:t xml:space="preserve">Также письмом от 17.11.2022 № 8590/3 в министерство социально-демографической и семейной политики Самарской области администрацией городского округа Тольятти было гарантировано </w:t>
            </w:r>
            <w:proofErr w:type="spellStart"/>
            <w:r w:rsidRPr="00C85655">
              <w:t>софинансирование</w:t>
            </w:r>
            <w:proofErr w:type="spellEnd"/>
            <w:r w:rsidRPr="00C85655">
              <w:t xml:space="preserve"> вышеуказанных мероприятий.</w:t>
            </w:r>
            <w:r w:rsidRPr="00C85655">
              <w:br/>
              <w:t xml:space="preserve">В 2022 году субсидии из областного бюджета на </w:t>
            </w:r>
            <w:proofErr w:type="spellStart"/>
            <w:r w:rsidRPr="00C85655">
              <w:t>софинансирование</w:t>
            </w:r>
            <w:proofErr w:type="spellEnd"/>
            <w:r w:rsidRPr="00C85655">
              <w:t xml:space="preserve"> расходных обязательств муниципальных образований по развитию инфраструктуры муниципальных учреждений отдыха и оздоровления детей министерством социально-демографической и семейной политики Самарской области городскому округу Тольятти не предоставлялись.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1.16</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принять меры по обеспечению антитеррористической </w:t>
            </w:r>
            <w:r>
              <w:lastRenderedPageBreak/>
              <w:t xml:space="preserve">защищенности объектов образования, охраны имущества, жизни и здоровья обучающихся;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225E98">
            <w:pPr>
              <w:pStyle w:val="4"/>
              <w:jc w:val="left"/>
            </w:pPr>
            <w:proofErr w:type="gramStart"/>
            <w:r w:rsidRPr="00C85655">
              <w:lastRenderedPageBreak/>
              <w:t xml:space="preserve">Согласно постановлению Правительства от 02.08.2019 № 1006 «Об утверждении требований к антитеррористической защищенности объектов (территорий) </w:t>
            </w:r>
            <w:r w:rsidRPr="00C85655">
              <w:lastRenderedPageBreak/>
              <w:t xml:space="preserve">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рамках муниципальной программы «Развитие системы образования г.о. Тольятти на 2021 – 2027 годы», утвержденной постановлением администрации </w:t>
            </w:r>
            <w:r w:rsidR="00E02148">
              <w:t xml:space="preserve">городского округа </w:t>
            </w:r>
            <w:r w:rsidRPr="00C85655">
              <w:t xml:space="preserve">Тольятти </w:t>
            </w:r>
            <w:r w:rsidR="00E02148" w:rsidRPr="00C85655">
              <w:t>от 09.10.2020</w:t>
            </w:r>
            <w:r w:rsidR="00E02148">
              <w:t xml:space="preserve"> </w:t>
            </w:r>
            <w:r w:rsidRPr="00C85655">
              <w:t>№ 3062-п/1</w:t>
            </w:r>
            <w:proofErr w:type="gramEnd"/>
            <w:r w:rsidRPr="00C85655">
              <w:t xml:space="preserve">, в 2022 году из муниципального и областного бюджетов выделены денежные средства на оснащение подведомственных образовательных учреждений: системами контроля и управления доступом (МБУ «Школы №№ 13; 26; 35; 40; 44; 60; 69; 75; 82; 94; </w:t>
            </w:r>
            <w:proofErr w:type="gramStart"/>
            <w:r w:rsidR="003D1FA3">
              <w:t>ДОУ «ДДЮТ») в сумме 6 147,0 тыс. </w:t>
            </w:r>
            <w:r w:rsidRPr="00C85655">
              <w:t xml:space="preserve">руб.; системами оповещения и управления эвакуацией (6 зданий д/с №200 «Волшебный башмачок») на сумму 1476,0 </w:t>
            </w:r>
            <w:r w:rsidR="00225E98">
              <w:t>тыс. руб</w:t>
            </w:r>
            <w:r w:rsidRPr="00C85655">
              <w:t>.; а также оплату физической охраны ЧОО на объектах 1-3 категории опасности.</w:t>
            </w:r>
            <w:proofErr w:type="gramEnd"/>
            <w:r w:rsidRPr="00C85655">
              <w:t xml:space="preserve"> В рамках капитального ремонта на восстановление целостности ограждения выделены средства в сумме 2 381,330 </w:t>
            </w:r>
            <w:r w:rsidR="00225E98" w:rsidRPr="00225E98">
              <w:t>тыс. руб.</w:t>
            </w:r>
            <w:r w:rsidRPr="00C85655">
              <w:t xml:space="preserve">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1.17</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созданию условий доступности городской среды для маломобильных категорий населения, в том числе в учреждениях социальной сферы и на элементах дорожно-транспортной сети;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225E98">
            <w:pPr>
              <w:pStyle w:val="4"/>
              <w:jc w:val="left"/>
            </w:pPr>
            <w:r w:rsidRPr="00C85655">
              <w:t xml:space="preserve">В целях создания условий доступности городской среды для маломобильных групп населения в 2022 году администрацией городского округа Тольятти в рамках установленной компетенции реализовывались мероприятия, направленные на организацию системного подхода к решению данного вопроса. </w:t>
            </w:r>
            <w:proofErr w:type="gramStart"/>
            <w:r w:rsidRPr="00C85655">
              <w:t>Основные</w:t>
            </w:r>
            <w:proofErr w:type="gramEnd"/>
            <w:r w:rsidRPr="00C85655">
              <w:t xml:space="preserve"> из таких мероприятий представлены ниже.</w:t>
            </w:r>
            <w:r w:rsidRPr="00C85655">
              <w:br/>
              <w:t>1. Проведено обследование и паспортизация объектов социальной инфраструктуры, находящихся в муниципальной собственности городского округа Тольятти, на предмет их доступности для маломобильных групп населения.</w:t>
            </w:r>
            <w:r w:rsidRPr="00C85655">
              <w:br/>
              <w:t>По состоянию на 01.01.2023 сформировано 543 паспорта доступности с фотоматериалами по каждому объекту, которые внесены в государственную информацио</w:t>
            </w:r>
            <w:r w:rsidR="00F656F9">
              <w:t>нную систему Самарской области «Геоинформационная система «</w:t>
            </w:r>
            <w:r w:rsidRPr="00C85655">
              <w:t>Доступная среда</w:t>
            </w:r>
            <w:r w:rsidR="00F656F9">
              <w:t>»</w:t>
            </w:r>
            <w:r w:rsidRPr="00C85655">
              <w:t>.</w:t>
            </w:r>
            <w:r w:rsidRPr="00C85655">
              <w:br/>
              <w:t>Мероприятие проводилось в рамках текущей деятельности, без финансового обеспечения.</w:t>
            </w:r>
            <w:r w:rsidRPr="00C85655">
              <w:br/>
              <w:t xml:space="preserve">2. </w:t>
            </w:r>
            <w:proofErr w:type="gramStart"/>
            <w:r w:rsidRPr="00C85655">
              <w:t xml:space="preserve">В целях обеспечения доступности для маломобильных групп населения дорожной инфраструктуры, в рамках муниципальной программы «Развитие </w:t>
            </w:r>
            <w:r w:rsidRPr="00C85655">
              <w:lastRenderedPageBreak/>
              <w:t>транспортной системы и дорожного хозяйства городского округа Тольятти на 2021-2025гг.», утвержденной постановлением администрации городского округа Тольятти от 14.10.2020 № 3118-п/1 (далее в настоящем вопросе - Муниципальная программа № 3118-п/1), осуществлено устройство 73 съездов для инвалидов и других маломобильных групп населения на сумму в размере 752 тыс</w:t>
            </w:r>
            <w:proofErr w:type="gramEnd"/>
            <w:r w:rsidRPr="00C85655">
              <w:t xml:space="preserve">. руб. из средств местного бюджета. </w:t>
            </w:r>
            <w:r w:rsidRPr="00C85655">
              <w:br/>
            </w:r>
            <w:proofErr w:type="gramStart"/>
            <w:r w:rsidRPr="00C85655">
              <w:t xml:space="preserve">В целях обеспечения доступности для маломобильных групп населения общественного транспорта, в рамках Муниципальной программы № 3118-п/1 осуществлялись: лизинговые платежи за 50 приобретенных </w:t>
            </w:r>
            <w:proofErr w:type="spellStart"/>
            <w:r w:rsidRPr="00C85655">
              <w:t>низкопольных</w:t>
            </w:r>
            <w:proofErr w:type="spellEnd"/>
            <w:r w:rsidRPr="00C85655">
              <w:t xml:space="preserve"> автобусов на сумму в размере 75511 тыс.</w:t>
            </w:r>
            <w:r w:rsidR="00964D65">
              <w:t> </w:t>
            </w:r>
            <w:r w:rsidRPr="00C85655">
              <w:t xml:space="preserve">руб., из которых 755 тыс. руб. - средства местного бюджета и 74756 тыс. руб. - средства областного бюджета, а также лизинговые платежи за 19 приобретенных </w:t>
            </w:r>
            <w:proofErr w:type="spellStart"/>
            <w:r w:rsidRPr="00C85655">
              <w:t>низкопольных</w:t>
            </w:r>
            <w:proofErr w:type="spellEnd"/>
            <w:r w:rsidRPr="00C85655">
              <w:t xml:space="preserve"> автобусов на сумму в размере 143196,4</w:t>
            </w:r>
            <w:proofErr w:type="gramEnd"/>
            <w:r w:rsidRPr="00C85655">
              <w:t xml:space="preserve"> тыс. руб., из средств областного бюджета. Срок лизинга до 01.05.2028. Поставка автобусов в город – апрель 2023 года. Все приобретаемые автобусы адаптированы для перевозки маломобильных групп населения.</w:t>
            </w:r>
            <w:r w:rsidRPr="00C85655">
              <w:br/>
              <w:t>Также, в рамках текущей деятельности муниципальным предприятием «Тольяттинское пассажирское автотранспортное предприятие № 3» в 2022 году исполнено 1518 заявок на перевозку маломобильных граждан специализированными автомобилями (бюджетные средства не привлекались).</w:t>
            </w:r>
            <w:r w:rsidRPr="00C85655">
              <w:br/>
            </w:r>
            <w:proofErr w:type="gramStart"/>
            <w:r w:rsidRPr="00C85655">
              <w:t>Кроме того, в рамках муниципальной программы «Создание условий для улучшения качества жизни жителей городского округа Тольятти» на 2020 - 2024 годы, утвержденной постановлением администрации городского округа Тольятти от 13.09.2019 №2488-п/1 (далее в настоящем вопросе – Муниципальная программа № 2488-п/1), на сумму в размере 5615,4 тыс. руб. из средств местного бюджета произведены ежемесячные денежные выплаты на проезд для отдельных категорий граждан из</w:t>
            </w:r>
            <w:proofErr w:type="gramEnd"/>
            <w:r w:rsidRPr="00C85655">
              <w:t xml:space="preserve"> числа инвалидов, среднее количество получателей в месяц составило 187 чел. </w:t>
            </w:r>
            <w:r w:rsidRPr="00C85655">
              <w:br/>
              <w:t>3. Важным направлением деятельности является содействие обеспечению условий доступности для инвалидов жилых помещений.</w:t>
            </w:r>
            <w:r w:rsidRPr="00C85655">
              <w:br/>
              <w:t>В 2022 году соответствующей муниципальной комиссией было проведено 22 обследования жилых помещений инвалидов и общего имущества в многоквартирных домах, в которых они проживают.</w:t>
            </w:r>
            <w:r w:rsidRPr="00C85655">
              <w:br/>
            </w:r>
            <w:proofErr w:type="gramStart"/>
            <w:r w:rsidRPr="00C85655">
              <w:lastRenderedPageBreak/>
              <w:t xml:space="preserve">В рамках муниципальной программы «Капитальный ремонт многоквартирных домов городского округа Тольятти на 2019-2023 годы», утвержденной постановлением администрации городского </w:t>
            </w:r>
            <w:r w:rsidR="00E02148">
              <w:t>округа Тольятти от 11.07.2018 № </w:t>
            </w:r>
            <w:r w:rsidRPr="00C85655">
              <w:t>2036-п/1, были предоставлены субсидии юридическим лицам (за исключением субсидий государственным (муниципальным учреждениям), индивидуальным предпринимателям - производителям товаров, работ и услуг в целях возмещения затрат на капитальный ремонт многоквартирных домов городского округа Тольятти, на сумму в размере 3254,4 тыс</w:t>
            </w:r>
            <w:proofErr w:type="gramEnd"/>
            <w:r w:rsidRPr="00C85655">
              <w:t>. руб. из средств местного бюджета, в результате чего установлены 2 пандуса и 3 подъемных механизма, подготовлено 2 проектные документации на оборудование подъездов пандусами и подъемными механизмами.</w:t>
            </w:r>
            <w:r w:rsidRPr="00C85655">
              <w:br/>
            </w:r>
            <w:proofErr w:type="gramStart"/>
            <w:r w:rsidRPr="00C85655">
              <w:t>В соответствии с Федеральным законом от 24.11.1995 № 181-ФЗ «О социальной защите инвалидов в Российской Федерации» (далее в настоящем вопросе - Федеральный закон № 181-ФЗ), Законом Самарской области от 11.07.2006 № 87-ГД «Об обеспечении жилыми помещениями отдельных категорий граждан, проживающих на территории Самарской области», в рамках государственной программы Самарской области «Развитие жилищного строительства в Самарской области» до 2024 года, утвержденной постановлением Правительства Самарской области</w:t>
            </w:r>
            <w:proofErr w:type="gramEnd"/>
            <w:r w:rsidRPr="00C85655">
              <w:t xml:space="preserve"> от 27.11.2013 № 684, 2 инвалидам на сумму </w:t>
            </w:r>
            <w:r w:rsidR="00867805">
              <w:t>в размере 2534,2 тыс. </w:t>
            </w:r>
            <w:r w:rsidRPr="00C85655">
              <w:t xml:space="preserve">руб. из средств федерального бюджета предоставлены социальные выплаты в целях обеспечения их жильем. </w:t>
            </w:r>
            <w:r w:rsidRPr="00C85655">
              <w:br/>
              <w:t xml:space="preserve">4. </w:t>
            </w:r>
            <w:proofErr w:type="gramStart"/>
            <w:r w:rsidRPr="00C85655">
              <w:t>В соответствии с Федеральным законом № 181-ФЗ,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осуществлено обучение (инструктирование)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w:t>
            </w:r>
            <w:proofErr w:type="gramEnd"/>
            <w:r w:rsidRPr="00C85655">
              <w:t xml:space="preserve"> и законодательством субъектов Российской Федерации.</w:t>
            </w:r>
            <w:r w:rsidRPr="00C85655">
              <w:br/>
              <w:t xml:space="preserve">По состоянию на 01.01.2023 в органах администрации городского округа Тольятти, муниципальных учреждениях (предприятиях) городского округа </w:t>
            </w:r>
            <w:r w:rsidRPr="00C85655">
              <w:lastRenderedPageBreak/>
              <w:t xml:space="preserve">Тольятти обучено (проинструктировано) 8560 чел., в </w:t>
            </w:r>
            <w:r w:rsidR="00225E98">
              <w:t>том числе</w:t>
            </w:r>
            <w:r w:rsidRPr="00C85655">
              <w:t xml:space="preserve"> в 2022 году – 4228</w:t>
            </w:r>
            <w:r w:rsidR="00225E98">
              <w:t> </w:t>
            </w:r>
            <w:r w:rsidRPr="00C85655">
              <w:t>чел.</w:t>
            </w:r>
            <w:r w:rsidRPr="00C85655">
              <w:br/>
              <w:t>Мероприятие осуществлено в рамках текущей деятельности, без финансового обеспечения.</w:t>
            </w:r>
            <w:r w:rsidRPr="00C85655">
              <w:br/>
              <w:t>5. Отдельно необходимо отметить мероприятия, направленные на обеспечение доступности для маломобильных групп населения муниципальных учреждений городского округа Тольятти.</w:t>
            </w:r>
            <w:r w:rsidRPr="00C85655">
              <w:br/>
            </w:r>
            <w:proofErr w:type="gramStart"/>
            <w:r w:rsidRPr="00C85655">
              <w:t>Например, в 2022 году были выполнены мероприятия:</w:t>
            </w:r>
            <w:r w:rsidRPr="00C85655">
              <w:br/>
              <w:t>- по обустройству и приспособлению 7 муниципальных объектов образования (МБУ детский сад № 196 «Маячок», МБУ детский сад № 49 «Веселые нотки», МБУ детский сад № 80 «Песенка», МБУ «Школа № 88», МБУ «Гимназия № 38», МБУ «Школа № 46», МБУ «Школа № 41») (4062,09 тыс. руб. из средств местного бюджета, 1505,57 тыс. руб. из средств областного бюджета);</w:t>
            </w:r>
            <w:proofErr w:type="gramEnd"/>
            <w:r w:rsidRPr="00C85655">
              <w:br/>
              <w:t xml:space="preserve">- по улучшению доступности для маломобильных граждан в 3 муниципальных учреждениях культуры (МБУК «Объединение детских библиотек», МБУ </w:t>
            </w:r>
            <w:proofErr w:type="gramStart"/>
            <w:r w:rsidRPr="00C85655">
              <w:t>ДО</w:t>
            </w:r>
            <w:proofErr w:type="gramEnd"/>
            <w:r w:rsidRPr="00C85655">
              <w:t xml:space="preserve"> </w:t>
            </w:r>
            <w:proofErr w:type="gramStart"/>
            <w:r w:rsidRPr="00C85655">
              <w:t>детская</w:t>
            </w:r>
            <w:proofErr w:type="gramEnd"/>
            <w:r w:rsidRPr="00C85655">
              <w:t xml:space="preserve"> школа искусств имени М.А. Балакирева, МБУК «Библиотеки Тольятти») (1593,4 тыс. руб. из средств местного бюджета).</w:t>
            </w:r>
            <w:r w:rsidRPr="00C85655">
              <w:br/>
              <w:t>Направление доступности предоставляемых услуг особенно значимо в работе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в настоящем вопросе - МФЦ), в котором созданы следующие условия:</w:t>
            </w:r>
            <w:r w:rsidRPr="00C85655">
              <w:br/>
              <w:t>- оборудованы входы в помещения МФЦ пандусами, расширенными проходами, позволяющими обеспечить беспрепятственный доступ инвалидов, включая инвалидов, использующих коляски;</w:t>
            </w:r>
            <w:r w:rsidRPr="00C85655">
              <w:br/>
              <w:t xml:space="preserve">- </w:t>
            </w:r>
            <w:proofErr w:type="gramStart"/>
            <w:r w:rsidRPr="00C85655">
              <w:t>организовано расположение столов для обслуживания инвалидов в стороне от входа с учетом беспрепятственного подъезда и поворота колясок;</w:t>
            </w:r>
            <w:r w:rsidRPr="00C85655">
              <w:br/>
              <w:t>- организовано для инвалидов по слуху дублирование звуковой информации текстовой графической информацией;</w:t>
            </w:r>
            <w:r w:rsidRPr="00C85655">
              <w:br/>
              <w:t>- организовано для инвалидов по зрению дублирование необходимой для ознакомления зрительной информации (надписей и графической информации) звуковой информацией в отделениях МФЦ с количеством окон 5 и более;</w:t>
            </w:r>
            <w:proofErr w:type="gramEnd"/>
            <w:r w:rsidRPr="00C85655">
              <w:br/>
            </w:r>
            <w:r w:rsidRPr="00C85655">
              <w:lastRenderedPageBreak/>
              <w:t>- организованы бесплатные туалеты для инвалидов (в отделениях МФЦ с количеством окон 5 и более);</w:t>
            </w:r>
            <w:r w:rsidRPr="00C85655">
              <w:br/>
              <w:t>- размещены кнопки вызова помощи в отделениях МФЦ с количеством окон 5 и более, за исключением отделения, расположенного по адресу: ул. Революционная, 52А (ТРК «Русь на Волге»);</w:t>
            </w:r>
            <w:r w:rsidRPr="00C85655">
              <w:br/>
              <w:t>- обеспечены места для бесплатной парковки специальных автотранспортных средств инвалидов;</w:t>
            </w:r>
            <w:r w:rsidRPr="00C85655">
              <w:br/>
              <w:t xml:space="preserve">- </w:t>
            </w:r>
            <w:proofErr w:type="gramStart"/>
            <w:r w:rsidRPr="00C85655">
              <w:t>организовано бесплатное выездное обслуживание физических лиц (отдельных категорий) по месту нахождения заявителя для приема документов и доставки результата оказания услуги;</w:t>
            </w:r>
            <w:r w:rsidRPr="00C85655">
              <w:br/>
              <w:t>- осуществляется сопровождение специалистами МФЦ инвалидов, имеющих стойкие расстройства функции зрения и самостоятельного передвижения, и оказание им помощи при получении государственных и муниципальных услуг;</w:t>
            </w:r>
            <w:r w:rsidRPr="00C85655">
              <w:br/>
              <w:t>- разработан веб-сервис для заявителей, имеющих нарушения функции зрения, на портале «Мои документы» Самарской области;</w:t>
            </w:r>
            <w:proofErr w:type="gramEnd"/>
            <w:r w:rsidRPr="00C85655">
              <w:br/>
              <w:t xml:space="preserve">- организовано использование дистанционных услуг </w:t>
            </w:r>
            <w:proofErr w:type="spellStart"/>
            <w:r w:rsidRPr="00C85655">
              <w:t>сурдопереводчика</w:t>
            </w:r>
            <w:proofErr w:type="spellEnd"/>
            <w:r w:rsidRPr="00C85655">
              <w:t xml:space="preserve"> </w:t>
            </w:r>
            <w:proofErr w:type="gramStart"/>
            <w:r w:rsidRPr="00C85655">
              <w:t>для людей с инвалидностью по слуху с помощью видеосвязи в отделении</w:t>
            </w:r>
            <w:proofErr w:type="gramEnd"/>
            <w:r w:rsidRPr="00C85655">
              <w:t xml:space="preserve"> МФЦ по Центральному району (ул. Мира, 84).</w:t>
            </w:r>
            <w:r w:rsidRPr="00C85655">
              <w:br/>
              <w:t xml:space="preserve">В перспективах развития доступности получения государственных и муниципальных услуг на базе МАУ «МФЦ» запланировано использование услуг </w:t>
            </w:r>
            <w:proofErr w:type="spellStart"/>
            <w:r w:rsidRPr="00C85655">
              <w:t>сурдопереводчика</w:t>
            </w:r>
            <w:proofErr w:type="spellEnd"/>
            <w:r w:rsidRPr="00C85655">
              <w:t xml:space="preserve"> (</w:t>
            </w:r>
            <w:proofErr w:type="spellStart"/>
            <w:r w:rsidRPr="00C85655">
              <w:t>сурдоонлайн</w:t>
            </w:r>
            <w:proofErr w:type="spellEnd"/>
            <w:r w:rsidRPr="00C85655">
              <w:t xml:space="preserve">) для людей с инвалидностью по слуху с помощью системы </w:t>
            </w:r>
            <w:proofErr w:type="spellStart"/>
            <w:r w:rsidRPr="00C85655">
              <w:t>видеоудаленного</w:t>
            </w:r>
            <w:proofErr w:type="spellEnd"/>
            <w:r w:rsidRPr="00C85655">
              <w:t xml:space="preserve"> перевода на жестовый язык в отделении МФЦ по Автозаводскому району (ул. </w:t>
            </w:r>
            <w:proofErr w:type="gramStart"/>
            <w:r w:rsidRPr="00C85655">
              <w:t>Юбилейная</w:t>
            </w:r>
            <w:proofErr w:type="gramEnd"/>
            <w:r w:rsidRPr="00C85655">
              <w:t>, 4).</w:t>
            </w:r>
            <w:r w:rsidRPr="00C85655">
              <w:br/>
              <w:t>Ежеквартально во всех отделениях МФЦ организовано обучение специалистов, работающих с заявителями, по вопросам оказания услуг маломобильной категории населения в доступном для них формате с учетом нарушенных функций организма.</w:t>
            </w:r>
            <w:r w:rsidRPr="00C85655">
              <w:br/>
              <w:t>6. Социально значимым направлением является работа с детьми с ограниченными возможностями здоровья.</w:t>
            </w:r>
            <w:r w:rsidRPr="00C85655">
              <w:br/>
            </w:r>
            <w:proofErr w:type="gramStart"/>
            <w:r w:rsidRPr="00C85655">
              <w:t xml:space="preserve">Так, в рамках муниципальной программы «Молодежь Тольятти» на 2021-2030 гг., утвержденной постановлением администрации городского округа Тольятти от 09.10.2020 № 3066-п/1, и муниципальной программы «Развитие системы </w:t>
            </w:r>
            <w:r w:rsidRPr="00C85655">
              <w:lastRenderedPageBreak/>
              <w:t>образования городского округа Тольятти на 2021-2027 годы», утвержденной постановлением администрации городского округа Тольятти от 09.10.2020 № 3062-п/1 (далее в настоящем вопросе – Муниципальная программа № 3062-п/1), проведены мероприятия для детей с ограниченными возможностями здоровья, включая детей-инвалидов</w:t>
            </w:r>
            <w:proofErr w:type="gramEnd"/>
            <w:r w:rsidRPr="00C85655">
              <w:t xml:space="preserve">, </w:t>
            </w:r>
            <w:proofErr w:type="gramStart"/>
            <w:r w:rsidRPr="00C85655">
              <w:t>направленные на создание для них равных условий, на сумму в размере 403 тыс.</w:t>
            </w:r>
            <w:r w:rsidR="00867805">
              <w:t xml:space="preserve"> </w:t>
            </w:r>
            <w:r w:rsidRPr="00C85655">
              <w:t>руб. из средств местного бюджета (количество участников – 890 чел.).</w:t>
            </w:r>
            <w:proofErr w:type="gramEnd"/>
            <w:r w:rsidRPr="00C85655">
              <w:br/>
              <w:t>В рамках Муниципальной программы № 2488-п/1 в 2022 году проведен 25-й Фестиваль творчества детей с ограниченными возможностями здоровья «Серебряная птица» (впервые был организован в 1998 году), который объединил более 300 детей соответствующей категории.</w:t>
            </w:r>
            <w:r w:rsidRPr="00C85655">
              <w:br/>
            </w:r>
            <w:proofErr w:type="gramStart"/>
            <w:r w:rsidRPr="00C85655">
              <w:t>Также для детей-инвалидов предоставлялись дополнительные меры социальной поддержки за счет средств бюджета городского округа Тольятти, в том числе:</w:t>
            </w:r>
            <w:r w:rsidRPr="00C85655">
              <w:br/>
              <w:t>- 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(на сумму в размере 354 тыс. руб. при среднем количестве получателей в месяц - 53 чел.);</w:t>
            </w:r>
            <w:proofErr w:type="gramEnd"/>
            <w:r w:rsidRPr="00C85655">
              <w:br/>
              <w:t>- бесплатное и льготное питание (на сумму в размере 1912,4 тыс. руб. при количестве получателей из числа детей-инвалидов 188 чел.).</w:t>
            </w:r>
            <w:r w:rsidRPr="00C85655">
              <w:br/>
            </w:r>
            <w:proofErr w:type="gramStart"/>
            <w:r w:rsidRPr="00C85655">
              <w:t>В рамках муниципальной программы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утвержденной постановлением администрации городского округа Тольятти от 23.09.2020 № 2850-п/1, проведен конкурс на присуждение именных премий главы городского округа Тольятти для лиц с ограниченными возможностями здоровья и добровольцев из числа жителей городского округа Тольятти, в котором приняли</w:t>
            </w:r>
            <w:proofErr w:type="gramEnd"/>
            <w:r w:rsidRPr="00C85655">
              <w:t xml:space="preserve"> участие 27 детей-инвалидов, из которых 5 детей стали победителями и получили именные премии главы городского округа Тольятти в размере 20 тыс. руб. Финансовое обеспечение составило 100 тыс. руб. (местный бюджет).</w:t>
            </w:r>
            <w:r w:rsidRPr="00C85655">
              <w:br/>
              <w:t xml:space="preserve">В рамках Муниципальной программы № 3062-п/1 осуществлено предоставление широкополосного доступа к сети «Интернет» с использованием средств </w:t>
            </w:r>
            <w:r w:rsidRPr="00C85655">
              <w:lastRenderedPageBreak/>
              <w:t>контентной фильтрации информации муниципальным образовательным учреждениям, в том числе детям-инвалидам, находящимся на индивидуальном обучении и получающим общее образование в дистанционной форме, 43 чел. на сумму в размере 459,76 тыс.</w:t>
            </w:r>
            <w:r w:rsidR="00867805">
              <w:t> </w:t>
            </w:r>
            <w:r w:rsidRPr="00C85655">
              <w:t>руб. (областной бюджет).</w:t>
            </w:r>
            <w:r w:rsidRPr="00C85655">
              <w:br/>
              <w:t xml:space="preserve">7. </w:t>
            </w:r>
            <w:proofErr w:type="gramStart"/>
            <w:r w:rsidRPr="00C85655">
              <w:t>Учитывая важность влияния доступности городской среды для маломобильных групп населения на создание условий для развития туризма, администрация городского округа Тольятти постоянно ведет информационно-разъяснительную работу с коллективными средствами размещения, информирует об изменениях в законодательстве, а также рекомендует на регулярной основе проводить мероприятия по выполнению требований, установленных для обеспечения туристов с ограниченными физическими возможностями равных условий при пользовании услугами, предоставляемыми средствами размещения</w:t>
            </w:r>
            <w:proofErr w:type="gramEnd"/>
            <w:r w:rsidRPr="00C85655">
              <w:t xml:space="preserve">. </w:t>
            </w:r>
            <w:r w:rsidRPr="00C85655">
              <w:br/>
            </w:r>
            <w:proofErr w:type="gramStart"/>
            <w:r w:rsidRPr="00C85655">
              <w:t>На основании Соглашения о социально-культурном сотрудничестве администрации городского округа Тольятти и ПАО «МТС» (№ 769-дг/6 от 29.10.2020) по созданию интерактивного гида «Виртуальная прогулка», при реализации второго этапа проекта в Центральном и Комсомольском районах, а также в микрорайоне Шлюзовой (12 стендов), места установки и дизайн информационных стендов разработаны с учетом использования гражданами с ограниченными возможностями.</w:t>
            </w:r>
            <w:proofErr w:type="gramEnd"/>
            <w:r w:rsidRPr="00C85655">
              <w:t xml:space="preserve"> Наличие аудиогида по QR-коду также обеспечивает доступность информации о туристических объектах для всех групп населения, включая маломобильные.</w:t>
            </w:r>
            <w:r w:rsidRPr="00C85655">
              <w:br/>
              <w:t>Кроме того, в рамках текущей деятельности управлением международных и межрегиональных связей администрации городского округа Тольятти при содействии экскурсионного студенческого бюро ТГУ 27 июня 2022 года проведена экскурсия «Минувшее будущее» в 32 квартале Автозаводского ра</w:t>
            </w:r>
            <w:r w:rsidR="00F656F9">
              <w:t>йона по заявке ТГООИО «</w:t>
            </w:r>
            <w:r w:rsidRPr="00C85655">
              <w:t>КЛИО</w:t>
            </w:r>
            <w:r w:rsidR="00F656F9">
              <w:t>»</w:t>
            </w:r>
            <w:r w:rsidRPr="00C85655">
              <w:t>. В мероприятии приняло участие 17 человек.</w:t>
            </w:r>
            <w:r w:rsidRPr="00C85655">
              <w:br/>
              <w:t>8. Доступность городской среды для маломобильных групп населения находится в тесной связи с созданием условий для обеспечения жителей услугами общественного питания, торговли и бытового обслуживания.</w:t>
            </w:r>
            <w:r w:rsidRPr="00C85655">
              <w:br/>
              <w:t xml:space="preserve">В 2022 году по итогам проведения мониторинга предприятий потребительского рынка и услуг по обеспечению доступности для инвалидов и маломобильных категорий граждан и в ходе информационного взаимодействия с предприятиями </w:t>
            </w:r>
            <w:r w:rsidRPr="00C85655">
              <w:lastRenderedPageBreak/>
              <w:t>установлено, что более 800 объектов потребительского рынка оснащены пандусами, подъемниками для инвалидов и маломобильных групп граждан.</w:t>
            </w:r>
            <w:r w:rsidRPr="00C85655">
              <w:br/>
              <w:t>В течение отчетного периода проводилась разъяснительная работа в виде устного и письменного информирования руководителей предприятий сферы потребительского рынка о необходимости обустройства и оснащения объектов с учетом доступности для инвалидов и маломобильных групп граждан и мерах административной ответственности, предусмотренных статьей 9.13 Кодекса Российской Федерации об административных правонарушениях.</w:t>
            </w:r>
            <w:r w:rsidRPr="00C85655">
              <w:br/>
              <w:t>9. В целях совершенствования взаимодействия органов власти, юридических лиц и общественных объединений для решения проблем инвалидов в городском округе Тольятти осуществляет деятельность Совет по делам инвалидов при администрации городского округа Тольятти (создан постановлением мэрии городского округа Тольятти от 03.03.2010 № 517-п/1).</w:t>
            </w:r>
            <w:r w:rsidRPr="00C85655">
              <w:br/>
              <w:t>В 2022 году проведено 2 заседания указанного Совета, в целях обеспечения доступности его членам также предоставлялась возможность участия в заседаниях в режиме видеоконференцсвязи.</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1.18</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проведению капитального ремонта спортивных объектов, объектов образования и культуры, в том числе с привлечением средств областного бюджета и внебюджетных средств;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3E7353">
            <w:pPr>
              <w:pStyle w:val="4"/>
              <w:jc w:val="left"/>
            </w:pPr>
            <w:r w:rsidRPr="00C85655">
              <w:t>Общая потребность финансовых средств на выполнение мероприятий по капитальному ремонту объектов учреждений, находящихся в ведомственном подчинении управления физической культы и спорта в 2022 году составляла 528008,0 тыс.</w:t>
            </w:r>
            <w:r w:rsidR="00225E98">
              <w:t> </w:t>
            </w:r>
            <w:r w:rsidRPr="00C85655">
              <w:t xml:space="preserve">руб. (данные расчеты являются ориентировочными, более точные расчеты после прохождения сметной документации государственной экспертизы). </w:t>
            </w:r>
            <w:proofErr w:type="gramStart"/>
            <w:r w:rsidRPr="00C85655">
              <w:t>В течение 2022 года проведены следующие ремонтные работы:</w:t>
            </w:r>
            <w:r w:rsidRPr="00C85655">
              <w:br/>
              <w:t>- ремонт санитарно-гигиенических помещений в спортивном комплексе «Акробат» МБУДО СШОР № 2 «Красные Крылья» на сумму 154,0 тыс.</w:t>
            </w:r>
            <w:r w:rsidR="00225E98">
              <w:t> </w:t>
            </w:r>
            <w:r w:rsidRPr="00C85655">
              <w:t>руб.</w:t>
            </w:r>
            <w:r w:rsidR="00C52EF5">
              <w:t>;</w:t>
            </w:r>
            <w:r w:rsidRPr="00C85655">
              <w:br/>
              <w:t xml:space="preserve">- приобретение оборудования (подводный робот пылесос и </w:t>
            </w:r>
            <w:proofErr w:type="spellStart"/>
            <w:r w:rsidRPr="00C85655">
              <w:t>хлораторная</w:t>
            </w:r>
            <w:proofErr w:type="spellEnd"/>
            <w:r w:rsidRPr="00C85655">
              <w:t xml:space="preserve"> установка для очистки воды в бассейне) для спортивного комплекса «Старт» МБУДО СШОР № 3 «Легкая атлетика» на сумму 513,0 тыс.</w:t>
            </w:r>
            <w:r w:rsidR="00225E98">
              <w:t> </w:t>
            </w:r>
            <w:r w:rsidRPr="00C85655">
              <w:t>руб.;</w:t>
            </w:r>
            <w:r w:rsidRPr="00C85655">
              <w:br/>
              <w:t>- монтаж потолков в помещениях МБУДО СШ № 4 «Шахматы</w:t>
            </w:r>
            <w:proofErr w:type="gramEnd"/>
            <w:r w:rsidRPr="00C85655">
              <w:t>» по адресу: ул</w:t>
            </w:r>
            <w:proofErr w:type="gramStart"/>
            <w:r w:rsidRPr="00C85655">
              <w:t>.Р</w:t>
            </w:r>
            <w:proofErr w:type="gramEnd"/>
            <w:r w:rsidRPr="00C85655">
              <w:t>еволюционная, 11в на сумму 1357 тыс.</w:t>
            </w:r>
            <w:r w:rsidR="00225E98">
              <w:t> </w:t>
            </w:r>
            <w:r w:rsidRPr="00C85655">
              <w:t>руб.;</w:t>
            </w:r>
            <w:r w:rsidRPr="00C85655">
              <w:br/>
              <w:t>- замена оконных блоков в помещениях здания велошколы МБУДО СШОР № 9 «</w:t>
            </w:r>
            <w:proofErr w:type="spellStart"/>
            <w:r w:rsidRPr="00C85655">
              <w:t>Велотол</w:t>
            </w:r>
            <w:proofErr w:type="spellEnd"/>
            <w:r w:rsidRPr="00C85655">
              <w:t xml:space="preserve">» по адресу: </w:t>
            </w:r>
            <w:proofErr w:type="spellStart"/>
            <w:r w:rsidRPr="00C85655">
              <w:t>ул.Строителей</w:t>
            </w:r>
            <w:proofErr w:type="spellEnd"/>
            <w:r w:rsidRPr="00C85655">
              <w:t>, 12а, на сумму 393,0 тыс.руб.;</w:t>
            </w:r>
            <w:r w:rsidRPr="00C85655">
              <w:br/>
            </w:r>
            <w:r w:rsidRPr="00C85655">
              <w:lastRenderedPageBreak/>
              <w:t xml:space="preserve">- приобретение оборудования для ремонта холодильной станции спортивного комплекса «Кристалл» МБУДО СШОР № 13 «Волгарь» на сумму 330,0 тыс.руб.; </w:t>
            </w:r>
            <w:r w:rsidRPr="00C85655">
              <w:br/>
              <w:t>- ремонт системы водоснабжения бассейна с заменой металлического бака на пластиковый физкультурно-оздоровительного комплекса «Слон» МБУДО СШОР № 2 «Красные Крылья» по адресу: г</w:t>
            </w:r>
            <w:proofErr w:type="gramStart"/>
            <w:r w:rsidRPr="00C85655">
              <w:t>.Т</w:t>
            </w:r>
            <w:proofErr w:type="gramEnd"/>
            <w:r w:rsidRPr="00C85655">
              <w:t>ольятти, ул.М.Жукова, 13б, строение 1, на сумму 398,0 тыс.руб.;</w:t>
            </w:r>
            <w:r w:rsidRPr="00C85655">
              <w:br/>
              <w:t>- ремонт кровли помещений МБУДО СШОР № 9 «</w:t>
            </w:r>
            <w:proofErr w:type="spellStart"/>
            <w:r w:rsidRPr="00C85655">
              <w:t>Велотол</w:t>
            </w:r>
            <w:proofErr w:type="spellEnd"/>
            <w:r w:rsidRPr="00C85655">
              <w:t xml:space="preserve">» по адресу: </w:t>
            </w:r>
            <w:proofErr w:type="spellStart"/>
            <w:r w:rsidRPr="00C85655">
              <w:t>ул.Вавилова</w:t>
            </w:r>
            <w:proofErr w:type="spellEnd"/>
            <w:r w:rsidRPr="00C85655">
              <w:t>, 64, на сумму 336,0 тыс.руб.;</w:t>
            </w:r>
            <w:r w:rsidRPr="00C85655">
              <w:br/>
              <w:t>- разработана проектно-сметная документация с положительным заключением государственной экспертизы на сметную документацию на капитальный ремонт стадиона «Дружба» МБУДО СШОР № 12 «Лада» на сумму 687,0 тыс.</w:t>
            </w:r>
            <w:r w:rsidR="00C52EF5">
              <w:t> </w:t>
            </w:r>
            <w:r w:rsidRPr="00C85655">
              <w:t xml:space="preserve">руб. </w:t>
            </w:r>
            <w:r w:rsidRPr="00C85655">
              <w:br/>
              <w:t>В целях привлечения средств из вышестоящих бюджетов в 2022 году направлялись заявки в Министерства Самарской области для выполнения работ по приведению спортивных объектов в соответствующее нормативное состояние на общую сумму 484 140,0 тыс. руб. (спортивные площадки и стадион «Дружба»).</w:t>
            </w:r>
            <w:r w:rsidRPr="00C85655">
              <w:br/>
            </w:r>
            <w:proofErr w:type="gramStart"/>
            <w:r w:rsidRPr="00C85655">
              <w:t>В 2022 году в рамках реализации государственной программы Самарской области «Строительство, реконструкция и капитальный ремонт учреждений образования Самарской области» до 2025 года (утверждена постановлением Правительства Самарской области от 11.02.2015 № 56 «Об утверждении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w:t>
            </w:r>
            <w:r w:rsidR="00ED0B1D">
              <w:t xml:space="preserve"> </w:t>
            </w:r>
            <w:r w:rsidRPr="00C85655">
              <w:t>в соответствии с заключенными соглашениями бюджету городского округа Тольятти выделены субсидии из</w:t>
            </w:r>
            <w:proofErr w:type="gramEnd"/>
            <w:r w:rsidRPr="00C85655">
              <w:t xml:space="preserve"> федерального, областного бюджетов на проведение капитального ремонта и оснащение основными средствами 5-ти ОУ (МБУ школы №№ 16, 20, 58, 59, лиц</w:t>
            </w:r>
            <w:r w:rsidR="00ED0B1D">
              <w:t>ей №</w:t>
            </w:r>
            <w:r w:rsidRPr="00C85655">
              <w:t xml:space="preserve"> 76). По итогам проведенных закупочных процедур, в соответствии с заключенными контрактами в МБУ №№ 16, 20, 58, 59, 76 завершены работы по капитальному ремонту в полном объеме.</w:t>
            </w:r>
            <w:r w:rsidRPr="00C85655">
              <w:br/>
            </w:r>
            <w:proofErr w:type="gramStart"/>
            <w:r w:rsidRPr="00C85655">
              <w:t xml:space="preserve">В 2022 году 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(утверждена постановлением Правительства Самарской области от 11.02.2015 № 56 «Об утверждении государственной программы Самарской области «Строительство, реконструкция и </w:t>
            </w:r>
            <w:r w:rsidRPr="00C85655">
              <w:lastRenderedPageBreak/>
              <w:t>капитальный ремонт образовательных учреждений Самарской области» до 2025 года»)</w:t>
            </w:r>
            <w:r w:rsidR="003E7353">
              <w:t xml:space="preserve"> </w:t>
            </w:r>
            <w:r w:rsidRPr="00C85655">
              <w:t>заключено соглашение на выделение областных субсидий в сумме 5 760,18 тыс. руб</w:t>
            </w:r>
            <w:proofErr w:type="gramEnd"/>
            <w:r w:rsidRPr="00C85655">
              <w:t xml:space="preserve">. </w:t>
            </w:r>
            <w:proofErr w:type="gramStart"/>
            <w:r w:rsidRPr="00C85655">
              <w:t>на капитальный ремонт пищеблоков 10 школ (14 зданий:</w:t>
            </w:r>
            <w:proofErr w:type="gramEnd"/>
            <w:r w:rsidRPr="00C85655">
              <w:t xml:space="preserve"> </w:t>
            </w:r>
            <w:proofErr w:type="gramStart"/>
            <w:r w:rsidRPr="00C85655">
              <w:t>МБУ школы №№ 1, 4, 13 (2 здания), 18, 20 (2 здания), 41 (2 здания), 70 (2 здания), 75, 89, 91).</w:t>
            </w:r>
            <w:proofErr w:type="gramEnd"/>
            <w:r w:rsidRPr="00C85655">
              <w:t xml:space="preserve"> По итогам проведенных закупочных процедур все учреждения заключили контракты, ремонтные работы выполнены в полном объеме.</w:t>
            </w:r>
            <w:r w:rsidRPr="00C85655">
              <w:br/>
            </w:r>
            <w:proofErr w:type="gramStart"/>
            <w:r w:rsidRPr="00C85655">
              <w:t>В 2022 году в рамках реализации муниципальной программы «Развитие системы образования городского округа Тольятти на 2021-2027 годы» (утверждена постановлением администрации городского округа Тольятти от 09.10.2020 № 3062 «Об утверждении муниципальной программы «Развитие системы образования городского округа Тольятти на 2021-2027 годы»)</w:t>
            </w:r>
            <w:r w:rsidR="003E7353">
              <w:t xml:space="preserve"> </w:t>
            </w:r>
            <w:r w:rsidRPr="00C85655">
              <w:t>за счет средств муниципального бюджета выполнен капитальный ремонт кровли в 9 муниципальных образовательных учреждениях (школы №№ 18, 21, 80, 84, 86, детские</w:t>
            </w:r>
            <w:proofErr w:type="gramEnd"/>
            <w:r w:rsidRPr="00C85655">
              <w:t xml:space="preserve"> сады №№ 33, 64, 162, 196). Все работы выполнены в полном объеме в установленный срок.</w:t>
            </w:r>
            <w:r w:rsidRPr="00C85655">
              <w:br/>
            </w:r>
            <w:proofErr w:type="gramStart"/>
            <w:r w:rsidRPr="00C85655">
              <w:t xml:space="preserve">В 2022 году в рамках реализации муниципальной программы «Развитие системы образования </w:t>
            </w:r>
            <w:r w:rsidR="006B78C6">
              <w:t>городского округа</w:t>
            </w:r>
            <w:r w:rsidRPr="00C85655">
              <w:t xml:space="preserve"> Тольятти на 2021-2027 годы» (утверждена постановлением администрации городского округа Тольятти от 09.10.2020 № 3062 «Об утверждении муниципальной программы «Развитие системы образования городского округа Тольятти на 2021-2027 годы»)</w:t>
            </w:r>
            <w:r w:rsidR="006B78C6">
              <w:t xml:space="preserve"> </w:t>
            </w:r>
            <w:r w:rsidRPr="00C85655">
              <w:t>выделены муниципальные средства на капитальный ремонт систем автоматической пожарной сигнализации, оповещения и управления эвакуацией людей при пожаре (далее - АПС и СОУЭ</w:t>
            </w:r>
            <w:proofErr w:type="gramEnd"/>
            <w:r w:rsidRPr="00C85655">
              <w:t>) 7 образовательным учреждениям (МБУ школы №№ 18, 21, 70, 79, 90, МБУ детский сад № 162, МБОУ ДО «Гранит»).</w:t>
            </w:r>
            <w:r w:rsidR="006B78C6">
              <w:t xml:space="preserve"> </w:t>
            </w:r>
            <w:r w:rsidRPr="00C85655">
              <w:t>Завершены работы в полном объеме и в установленный срок.</w:t>
            </w:r>
            <w:r w:rsidRPr="00C85655">
              <w:br/>
            </w:r>
            <w:proofErr w:type="gramStart"/>
            <w:r w:rsidRPr="00C85655">
              <w:t>В 2022 году в рамках реализации муниципальной программы «Развитие системы образования городского округа Тольятти на 2021-2027годы» (утверждена постановлением администрации городского округа Тольятти от 09.10.2020 № 3062 «Об утверждении муниципальной программы «Развитие системы образования городского округа Тольятти на 2021-2027 годы»)</w:t>
            </w:r>
            <w:r w:rsidR="00F656F9">
              <w:t xml:space="preserve"> </w:t>
            </w:r>
            <w:r w:rsidRPr="00C85655">
              <w:t>выделены муниципальные средства на замену водонагревателей в 7 учреждениях (общеобразовательные учреждения №№ 3, 19, 75, детские сады №№ 93, 28, 41, МБОУ ДО «Гранит</w:t>
            </w:r>
            <w:proofErr w:type="gramEnd"/>
            <w:r w:rsidRPr="00C85655">
              <w:t>»). Работы выполнены в полном объеме в установленный срок.</w:t>
            </w:r>
            <w:r w:rsidRPr="00C85655">
              <w:br/>
            </w:r>
            <w:proofErr w:type="gramStart"/>
            <w:r w:rsidRPr="00C85655">
              <w:lastRenderedPageBreak/>
              <w:t>В 2022 году в рамках муниципальной программы «Развитие системы образования городского округа Тольятти на 2021-2027годы» (утверждена постановлением администрации городского округа Тольятти от 09.10.2020 № 3062 «Об утверждении муниципальной программы «Развитие системы образования городского округа Тольятти на 2021-2027 годы»)</w:t>
            </w:r>
            <w:r w:rsidR="003E7353">
              <w:t xml:space="preserve"> </w:t>
            </w:r>
            <w:r w:rsidRPr="00C85655">
              <w:t>выделены дополнительные финансовые средства на замену оконных блоков в 24 учреждениях (общеобразовательные учреждения №№ 18, 62, 66, 79, школа имени С.П.</w:t>
            </w:r>
            <w:r w:rsidR="003E7353">
              <w:t> </w:t>
            </w:r>
            <w:r w:rsidRPr="00C85655">
              <w:t>Королева, дошкольные</w:t>
            </w:r>
            <w:proofErr w:type="gramEnd"/>
            <w:r w:rsidRPr="00C85655">
              <w:t xml:space="preserve"> учреждения №№ 23, 28, 45, 46, 64, 69, 73, 76, 79, 80, 100, 116, 120, 125, 147, 162, 196, 200, ДМЦ). Работы выполнены в полном объеме в установленный срок.</w:t>
            </w:r>
            <w:r w:rsidRPr="00C85655">
              <w:br/>
            </w:r>
            <w:proofErr w:type="gramStart"/>
            <w:r w:rsidRPr="00C85655">
              <w:t>В 2022 году в рамках муниципальной программы «Культура Тольятти на 2019-2023 годы» за счет средств бюджета городского округа Тольятти выполнен ремонт в 17 учреждениях культуры на сумму 26 660,8 тыс. руб., из них:</w:t>
            </w:r>
            <w:r w:rsidRPr="00C85655">
              <w:br/>
              <w:t>- 531,2 тыс. руб. освоены МБУ ДО Детский Дом культуры: на капитальный ремонт системы отопления 1 - го этажа 434,7 тыс. руб., ремонт систем освещения хорового класса 59,7 тыс</w:t>
            </w:r>
            <w:proofErr w:type="gramEnd"/>
            <w:r w:rsidRPr="00C85655">
              <w:t>. руб., ремонт наружного освещения 36,8 тыс. руб.;</w:t>
            </w:r>
            <w:r w:rsidRPr="00C85655">
              <w:br/>
              <w:t xml:space="preserve">- 262 тыс. руб. освоены МБУ </w:t>
            </w:r>
            <w:proofErr w:type="gramStart"/>
            <w:r w:rsidRPr="00C85655">
              <w:t>ДО</w:t>
            </w:r>
            <w:proofErr w:type="gramEnd"/>
            <w:r w:rsidRPr="00C85655">
              <w:t xml:space="preserve"> «</w:t>
            </w:r>
            <w:proofErr w:type="gramStart"/>
            <w:r w:rsidRPr="00C85655">
              <w:t>Детская</w:t>
            </w:r>
            <w:proofErr w:type="gramEnd"/>
            <w:r w:rsidRPr="00C85655">
              <w:t xml:space="preserve"> школа искусств Центрального района» на замену оконных блоков;</w:t>
            </w:r>
            <w:r w:rsidRPr="00C85655">
              <w:br/>
              <w:t>- 290,8 тыс. руб. освоены МБУ ДО ДШИ «Камертон» на проведение ремонта учебного класса;</w:t>
            </w:r>
            <w:r w:rsidRPr="00C85655">
              <w:br/>
              <w:t>- 493 тыс. руб. освоены МБУ ДО ДШИ имени М.А. Балакирева на установку пандуса;</w:t>
            </w:r>
            <w:r w:rsidRPr="00C85655">
              <w:br/>
              <w:t xml:space="preserve">- </w:t>
            </w:r>
            <w:proofErr w:type="gramStart"/>
            <w:r w:rsidRPr="00C85655">
              <w:t>690,9 тыс. руб. освоены МБУК «Объединение детских библиотек» на ремонт кровли здания, расположенного по адресу ул. Чайкиной, 71а – 574,5 тыс. руб. (в том числе за счет остатка средств на финансовое исполнение муниципального задания на 01.01.2022 – 223,5 тыс. руб.), на приобретение тактильных табличек, мнемосхем, антивандальной кнопки, кресла каталки для инвалидов - 116,4 тыс. руб.;</w:t>
            </w:r>
            <w:r w:rsidRPr="00C85655">
              <w:br/>
              <w:t>- 984 тыс. руб. освоены МБУК «Библиотеки Тольятти» на</w:t>
            </w:r>
            <w:proofErr w:type="gramEnd"/>
            <w:r w:rsidRPr="00C85655">
              <w:t xml:space="preserve"> </w:t>
            </w:r>
            <w:proofErr w:type="gramStart"/>
            <w:r w:rsidRPr="00C85655">
              <w:t>ремонт фасада с устройством пандуса (ул. 40 лет Победы,114) – 399 тыс. руб., на ремонт крыльца с установкой пандуса (б-р Ленина,10) - 355 тыс. руб., разработка проектно-сметной документации по доступности для маломобильных граждан - 230 тыс. руб.;</w:t>
            </w:r>
            <w:r w:rsidRPr="00C85655">
              <w:br/>
            </w:r>
            <w:r w:rsidRPr="00C85655">
              <w:lastRenderedPageBreak/>
              <w:t>- 375,9 освоено МБУ ДО ДХШ им. М.М. Плисецкой на проведение капитального ремонта кровли (частично) 177 тыс. руб., на замену светильников в хореографическом классе</w:t>
            </w:r>
            <w:proofErr w:type="gramEnd"/>
            <w:r w:rsidRPr="00C85655">
              <w:t xml:space="preserve"> </w:t>
            </w:r>
            <w:proofErr w:type="gramStart"/>
            <w:r w:rsidRPr="00C85655">
              <w:t>198,9 тыс. руб.;</w:t>
            </w:r>
            <w:r w:rsidRPr="00C85655">
              <w:br/>
              <w:t>- 531,3 тыс. руб. освоено МБУ ДО ДШИ «Лицей искусств» на ремонт системы водоснабжения 380 тыс. руб., замена входного блока центрального входа 57 тыс. руб., монтаж противопожарной перегородки 94,3 тыс. руб.;</w:t>
            </w:r>
            <w:r w:rsidRPr="00C85655">
              <w:br/>
              <w:t>- 77, 4 тыс. руб. освоено МБУ ДО ДШИ №1 на разработку проектно-сметной документации на монтаж АПС и СОУЭ 27 тыс. руб. и проведение государственной экспертизы проектно-сметной документации</w:t>
            </w:r>
            <w:proofErr w:type="gramEnd"/>
            <w:r w:rsidRPr="00C85655">
              <w:t xml:space="preserve"> </w:t>
            </w:r>
            <w:proofErr w:type="gramStart"/>
            <w:r w:rsidRPr="00C85655">
              <w:t>на ремонт 50,4 тыс. руб.;</w:t>
            </w:r>
            <w:r w:rsidRPr="00C85655">
              <w:br/>
              <w:t>- 850,4 тыс. руб. освоено МБУ ДО ЦРТДЮ «Истоки» на капитальный ремонт кровли (частично) - 542,3 тыс. руб., на огнезащитную обработку деревянных конструкций и текстильных материалов - 308,1 тыс. руб.;</w:t>
            </w:r>
            <w:r w:rsidRPr="00C85655">
              <w:br/>
              <w:t>- 17 522,8 тыс. руб. освоено МАУ «КЦ «Автоград» на капитальный ремонт кровли (6</w:t>
            </w:r>
            <w:r w:rsidR="003E7353">
              <w:t xml:space="preserve"> </w:t>
            </w:r>
            <w:r w:rsidRPr="00C85655">
              <w:t>этажное здание) 2599,6 тыс. руб., ремонт по восстановлению стелы - панно «Радость труда» - 14923,2 тыс. руб</w:t>
            </w:r>
            <w:proofErr w:type="gramEnd"/>
            <w:r w:rsidRPr="00C85655">
              <w:t>.</w:t>
            </w:r>
            <w:r w:rsidR="003E7353">
              <w:t>;</w:t>
            </w:r>
            <w:r w:rsidRPr="00C85655">
              <w:br/>
              <w:t>- 435 тыс. руб. освоено МАУ «КДЦ «Буревестник» на огнезащитную обработку деревянных конструкций и текстильных материалов;</w:t>
            </w:r>
            <w:r w:rsidRPr="00C85655">
              <w:br/>
              <w:t>- 450 тыс. руб. освоено МБУК «Тольяттинский краеведческий музей» (ул. Баныкина,14) на утепление стен фасада 450 тыс. руб.;</w:t>
            </w:r>
            <w:r w:rsidRPr="00C85655">
              <w:br/>
              <w:t xml:space="preserve">- 345,1 тыс. руб. освоено МБУИ «Тольяттинский театр кукол» на монтаж системы </w:t>
            </w:r>
            <w:proofErr w:type="spellStart"/>
            <w:r w:rsidRPr="00C85655">
              <w:t>эектрического</w:t>
            </w:r>
            <w:proofErr w:type="spellEnd"/>
            <w:r w:rsidRPr="00C85655">
              <w:t xml:space="preserve"> обогрева </w:t>
            </w:r>
            <w:proofErr w:type="spellStart"/>
            <w:r w:rsidRPr="00C85655">
              <w:t>ливневок</w:t>
            </w:r>
            <w:proofErr w:type="spellEnd"/>
            <w:r w:rsidRPr="00C85655">
              <w:t xml:space="preserve"> на кровле;</w:t>
            </w:r>
            <w:r w:rsidRPr="00C85655">
              <w:br/>
              <w:t xml:space="preserve">- </w:t>
            </w:r>
            <w:proofErr w:type="gramStart"/>
            <w:r w:rsidRPr="00C85655">
              <w:t xml:space="preserve">2184 тыс. руб. освоено МБУИ «Молодежный драматический театр» на монтаж системы </w:t>
            </w:r>
            <w:proofErr w:type="spellStart"/>
            <w:r w:rsidRPr="00C85655">
              <w:t>дымоудаления</w:t>
            </w:r>
            <w:proofErr w:type="spellEnd"/>
            <w:r w:rsidRPr="00C85655">
              <w:t xml:space="preserve"> из залов;</w:t>
            </w:r>
            <w:r w:rsidRPr="00C85655">
              <w:br/>
              <w:t>- 255 тыс. руб. освоено МАУИ «Драматич</w:t>
            </w:r>
            <w:r w:rsidR="006B78C6">
              <w:t>еский театр «Колесо» имени Г.Б. </w:t>
            </w:r>
            <w:r w:rsidRPr="00C85655">
              <w:t>Дроздова» на монтаж теплообменника;</w:t>
            </w:r>
            <w:r w:rsidRPr="00C85655">
              <w:br/>
              <w:t>- 382 тыс. руб. освоено МАУИ «Театр юного зрителя «Дилижанс»</w:t>
            </w:r>
            <w:r w:rsidR="006B78C6">
              <w:t xml:space="preserve"> </w:t>
            </w:r>
            <w:r w:rsidRPr="00C85655">
              <w:t>на монтаж системы электроснабжения.</w:t>
            </w:r>
            <w:proofErr w:type="gramEnd"/>
            <w:r w:rsidRPr="00C85655">
              <w:br/>
            </w:r>
            <w:proofErr w:type="gramStart"/>
            <w:r w:rsidRPr="00C85655">
              <w:t xml:space="preserve">За счет средств вышестоящего бюджета (федеральный бюджет) в рамках национального проекта «Культура» выполнен текущий ремонт помещения в МБУК «Библиотеки Тольятти» (ул. 40 лет Победы, д. 114) на сумму 1 056,7 тыс. руб. (установка внутренних перегородок с остеклением, ремонт пола, </w:t>
            </w:r>
            <w:r w:rsidRPr="00C85655">
              <w:lastRenderedPageBreak/>
              <w:t>окрашивание стен, устройство навесных потолков, электромонтажные работы, устройство санузла для граждан с ограниченными возможностями здоровья).</w:t>
            </w:r>
            <w:proofErr w:type="gramEnd"/>
            <w:r w:rsidRPr="00C85655">
              <w:br/>
              <w:t>За счет средств от приносящей доход деятельности и муниципального заказа выполнен ремонт в 10 учреждениях культуры на сумму 7738,8 тыс. руб., из них:</w:t>
            </w:r>
            <w:r w:rsidRPr="00C85655">
              <w:br/>
              <w:t>- МБУ ДО Детский Дом культуры - капитальный ремонт туалета в изостудии 194 тыс</w:t>
            </w:r>
            <w:proofErr w:type="gramStart"/>
            <w:r w:rsidRPr="00C85655">
              <w:t>.р</w:t>
            </w:r>
            <w:proofErr w:type="gramEnd"/>
            <w:r w:rsidRPr="00C85655">
              <w:t>уб.; ремонт входа в зал 173 тыс. руб.;</w:t>
            </w:r>
            <w:r w:rsidRPr="00C85655">
              <w:br/>
              <w:t>- МБУ ДО ДШИ имени И.Е. Репина - замена оконных блоков 222,4 тыс. руб., ремонт кабинета и кровли 198,4 тыс. руб.;</w:t>
            </w:r>
            <w:r w:rsidRPr="00C85655">
              <w:br/>
              <w:t>- МБУК «Объединение детских библиотек» - ремонт 4 библиотек (окна, крыльцо) 992,3 тыс. руб.;</w:t>
            </w:r>
            <w:r w:rsidRPr="00C85655">
              <w:br/>
              <w:t xml:space="preserve">- МБУК «Библиотеки Тольятти» - ремонт крыльца с установкой пандуса - </w:t>
            </w:r>
            <w:proofErr w:type="gramStart"/>
            <w:r w:rsidRPr="00C85655">
              <w:t>34,5 тыс. руб.;</w:t>
            </w:r>
            <w:r w:rsidRPr="00C85655">
              <w:br/>
              <w:t>- МБУК «Досуговый центр «Русич» - ремонт санузлов 1 и 2 этажа 95,7 тыс. руб.;</w:t>
            </w:r>
            <w:r w:rsidRPr="00C85655">
              <w:br/>
              <w:t>- МБУ ДО ДШИ «Лицей искусств» - замена оконных блоков 380 тыс. руб.;</w:t>
            </w:r>
            <w:r w:rsidRPr="00C85655">
              <w:br/>
              <w:t>- МБУ ДО ДШИ №1 - ремонт потолка в классе 18,9 тыс. руб.;</w:t>
            </w:r>
            <w:r w:rsidRPr="00C85655">
              <w:br/>
              <w:t>- МАУ «КЦ «Автоград» - капитальный ремонт кровли, фасада из камня, парапетов (</w:t>
            </w:r>
            <w:proofErr w:type="spellStart"/>
            <w:r w:rsidRPr="00C85655">
              <w:t>вентшахты</w:t>
            </w:r>
            <w:proofErr w:type="spellEnd"/>
            <w:r w:rsidRPr="00C85655">
              <w:t>) 1877,2 тыс. руб., ремонт мраморных лестниц в здании 116,9тыс. руб</w:t>
            </w:r>
            <w:proofErr w:type="gramEnd"/>
            <w:r w:rsidRPr="00C85655">
              <w:t>.;</w:t>
            </w:r>
            <w:r w:rsidRPr="00C85655">
              <w:br/>
              <w:t>- МАУК</w:t>
            </w:r>
            <w:proofErr w:type="gramStart"/>
            <w:r w:rsidRPr="00C85655">
              <w:t>«П</w:t>
            </w:r>
            <w:proofErr w:type="gramEnd"/>
            <w:r w:rsidRPr="00C85655">
              <w:t>арковый комплекс истории техники имени К.Г. Сахарова» -</w:t>
            </w:r>
            <w:r w:rsidR="003E7353">
              <w:t xml:space="preserve"> </w:t>
            </w:r>
            <w:r w:rsidRPr="00C85655">
              <w:t>ремонт водопровода 673 тыс. руб., ремонт входной группы 826,3 тыс. руб., изготовление лестниц для подводной лодки 1911,2 тыс. руб.;</w:t>
            </w:r>
            <w:r w:rsidRPr="00C85655">
              <w:br/>
              <w:t>- МБУИ «Молодежный драматический театр» - ремонт окон 25 тыс. руб.</w:t>
            </w:r>
            <w:r w:rsidRPr="00C85655">
              <w:br/>
              <w:t>Общая сумма расходов на ремонт составила 35 456,3 тыс.руб.</w:t>
            </w:r>
            <w:r w:rsidRPr="00C85655">
              <w:br/>
              <w:t xml:space="preserve">Администрацией городского округа Тольятти в адрес первого вице-губернатора – председателя Правительства Самарской области Кудряшова </w:t>
            </w:r>
            <w:proofErr w:type="gramStart"/>
            <w:r w:rsidRPr="00C85655">
              <w:t>В.В. направлено обращение о выделении средств областного бюджета в 2022 году на мероприятия: ремонт фасада здания МАУ городского округа Тольятти «КЦ «Автоград», общая сметная стоимость 43 845,23 тыс. руб., проектирование ремонтно-реставрационных работ по сохранению объекта культурного наследия МБУИ городского округа Тольятти «Тольяттинский театр кукол», общая сметная стоимость 13 192,972 тыс. руб. (письмо от 27.01.2022 № 581/1).</w:t>
            </w:r>
            <w:proofErr w:type="gramEnd"/>
            <w:r w:rsidRPr="00C85655">
              <w:t xml:space="preserve"> Средства областного бюджета городскому округу Тольятти не выделялись.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1.19</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принять меры по устранению и недопущению нарушений, выявленных контрольно-счетной палатой городского округа Тольятти;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6B78C6">
            <w:pPr>
              <w:pStyle w:val="4"/>
              <w:jc w:val="left"/>
            </w:pPr>
            <w:proofErr w:type="gramStart"/>
            <w:r w:rsidRPr="00C85655">
              <w:t>В 2022 году контрольно-счетной палатой городского округа Тольятти проведены проверки финансово-хозяйственной деятельности отраслевых (функциональных) органов администрации городского округа Тольятти и подведомственных им организаций:</w:t>
            </w:r>
            <w:r w:rsidRPr="00C85655">
              <w:br/>
              <w:t>-</w:t>
            </w:r>
            <w:r w:rsidR="003E7353">
              <w:t xml:space="preserve"> </w:t>
            </w:r>
            <w:r w:rsidRPr="00C85655">
              <w:t>департамента по управлению муниципальным имуществом - в части целевого и эффективного использования средств бюджета городского округа, в том числе поступивших из вышестоящих бюджетов, на приобретение жилых помещений в муниципальную собственность для обеспечения детей-сирот и детей, оставшихся без попечения</w:t>
            </w:r>
            <w:proofErr w:type="gramEnd"/>
            <w:r w:rsidRPr="00C85655">
              <w:t xml:space="preserve"> родителей, лиц из их числа, в 2021 году;</w:t>
            </w:r>
            <w:r w:rsidRPr="00C85655">
              <w:br/>
              <w:t>-</w:t>
            </w:r>
            <w:r w:rsidR="003E7353">
              <w:t xml:space="preserve"> </w:t>
            </w:r>
            <w:proofErr w:type="gramStart"/>
            <w:r w:rsidRPr="00C85655">
              <w:t xml:space="preserve">департамента городского хозяйств - в части целевого и эффективного использования средств на выполнение мероприятий по обеспечению комплексного благоустройства внутриквартальных территорий в 2021 году в рамках муниципальной программы «Благоустройство территории городского округа Тольятти на 2015-2024 годы», утвержденной постановлением мэрии городского </w:t>
            </w:r>
            <w:r w:rsidR="006B78C6">
              <w:t xml:space="preserve">округа Тольятти от 24.03.2015 </w:t>
            </w:r>
            <w:r w:rsidRPr="00C85655">
              <w:t xml:space="preserve"> № 905-п/1, целевого и эффективного использования средств бюджета </w:t>
            </w:r>
            <w:r w:rsidR="006B78C6">
              <w:t>городского округа</w:t>
            </w:r>
            <w:r w:rsidRPr="00C85655">
              <w:t xml:space="preserve"> Тольятти, в том числе поступивших из вышестоящих бюджетов</w:t>
            </w:r>
            <w:proofErr w:type="gramEnd"/>
            <w:r w:rsidRPr="00C85655">
              <w:t xml:space="preserve">, </w:t>
            </w:r>
            <w:proofErr w:type="gramStart"/>
            <w:r w:rsidRPr="00C85655">
              <w:t>на организацию мероприятий по осуществлению деятельности по обращению с животными без владельцев</w:t>
            </w:r>
            <w:proofErr w:type="gramEnd"/>
            <w:r w:rsidRPr="00C85655">
              <w:t xml:space="preserve"> в 2019-2021 годах;</w:t>
            </w:r>
            <w:r w:rsidRPr="00C85655">
              <w:br/>
              <w:t>-</w:t>
            </w:r>
            <w:r w:rsidR="006B78C6">
              <w:t xml:space="preserve"> </w:t>
            </w:r>
            <w:r w:rsidRPr="00C85655">
              <w:t>проверка АО "ПО КХ г.о. Тольятти" – в части правомерности начисления и выплаты заработной платы сотрудникам за II полугодие 2021 года;</w:t>
            </w:r>
            <w:r w:rsidRPr="00C85655">
              <w:br/>
              <w:t>-</w:t>
            </w:r>
            <w:r w:rsidR="006B78C6">
              <w:t xml:space="preserve"> </w:t>
            </w:r>
            <w:r w:rsidRPr="00C85655">
              <w:t>департамента общественной безопасности - в части целевого и эффективного использования бюджетных средств, средств, полученных от приносящей доход деятельности, и соблюдения установленного порядка управления и распоряжения муниципальным имуществом муниципальным бюджетным образовательным учреждением дополнительного профессионального образования «Курсы гражданской обороны городского округа Тольятти» за 2020-2021 годы;</w:t>
            </w:r>
            <w:r w:rsidRPr="00C85655">
              <w:br/>
              <w:t>-</w:t>
            </w:r>
            <w:r w:rsidR="006B78C6">
              <w:t xml:space="preserve"> </w:t>
            </w:r>
            <w:r w:rsidRPr="00C85655">
              <w:t xml:space="preserve">управления физической культуры и спорта - в части целевого и эффективного использования бюджетных средств, средств, полученных от приносящей доход деятельности и соблюдения установленного порядка управления и распоряжения муниципальным имуществом подведомственных учреждений: </w:t>
            </w:r>
            <w:proofErr w:type="gramStart"/>
            <w:r w:rsidRPr="00C85655">
              <w:t xml:space="preserve">МБУДО СШ № 4 «Шахматы» за 2021 год, МБУДО СШ олимпийского резерва № 12 «Лада» </w:t>
            </w:r>
            <w:r w:rsidRPr="00C85655">
              <w:lastRenderedPageBreak/>
              <w:t xml:space="preserve">городского округа Тольятти за 2020-2021 годы и МБУ СШОР № 13 «Волгарь» за 2020-2021 года; </w:t>
            </w:r>
            <w:r w:rsidRPr="00C85655">
              <w:br/>
              <w:t>-</w:t>
            </w:r>
            <w:r w:rsidR="006B78C6">
              <w:t xml:space="preserve"> </w:t>
            </w:r>
            <w:r w:rsidRPr="00C85655">
              <w:t>департамента образования - в части целевого и эффективного использования бюджетных средств, средств, полученных от приносящей доход деятельности, соблюдения установленного порядка управления и распоряжения муниципальным имуществом МКОУ ДПО «Ресурсный центр» за 2021 год;</w:t>
            </w:r>
            <w:proofErr w:type="gramEnd"/>
            <w:r w:rsidRPr="00C85655">
              <w:br/>
              <w:t>-</w:t>
            </w:r>
            <w:r w:rsidR="006B78C6">
              <w:t xml:space="preserve"> </w:t>
            </w:r>
            <w:r w:rsidRPr="00C85655">
              <w:t>проверка муниципального предприятия бытового обслуживания городского округа Тольятти «Баня № 1» - в части соблюдения порядка управления и распоряжения имуществом за 2019- 2021 годы.</w:t>
            </w:r>
            <w:r w:rsidRPr="00C85655">
              <w:br/>
              <w:t>Внешняя проверка годового отчета городского округа Тольятти об исполнении бюджета городского округа за 2021 год, экспертно-аналитические мероприятия проведены по всем отраслевым (функциональным) органам администрации.</w:t>
            </w:r>
            <w:r w:rsidRPr="00C85655">
              <w:br/>
            </w:r>
            <w:proofErr w:type="gramStart"/>
            <w:r w:rsidRPr="00C85655">
              <w:t>По результатам проверок выявлены нарушения требований по ведению бухгалтерского учета, формированию бухгалтерской отчетности, Федерального закона от 05.04.2013 №44-ФЗ «О контрактной системе в сфере закупок товаров, работ, услуг для обеспечения государственных и муниципальных нужд», Федерального закона от 12.01.1996 №7-ФЗ «О некоммерческих организациях», муниципальных правовых актов по предоставлению субсидий юридическим лицам (за исключением субсидий государственным (муниципальным) учреждениям), нецелевое использование субсидий на финансовое</w:t>
            </w:r>
            <w:proofErr w:type="gramEnd"/>
            <w:r w:rsidRPr="00C85655">
              <w:t xml:space="preserve"> обеспечение выполнения муниципального задания. Установлены нарушения норм трудового законодательства и локальных актов, регулирующих оплату труда, по оплате коммунальных услуг, в том числе за счет средств от приносящей доход деятельности, нарушения порядков управления и распоряжения муниципальным имуществом, выявлено отсутствие </w:t>
            </w:r>
            <w:proofErr w:type="gramStart"/>
            <w:r w:rsidRPr="00C85655">
              <w:t>контроля за</w:t>
            </w:r>
            <w:proofErr w:type="gramEnd"/>
            <w:r w:rsidRPr="00C85655">
              <w:t xml:space="preserve"> устранением недостатков подрядными организациями в рамках гарантийных обязательств. </w:t>
            </w:r>
            <w:r w:rsidRPr="00C85655">
              <w:br/>
            </w:r>
            <w:proofErr w:type="gramStart"/>
            <w:r w:rsidRPr="00C85655">
              <w:t xml:space="preserve">По замечаниям и нарушениям, выявленным в результате проверок, проведена работа по их устранению: внесены необходимые изменения в муниципальные правовые акты городского округа Тольятти, локальные акты муниципальных учреждений, бухгалтерская отчетность приведена в соответствие с требованиями ведения бухгалтерского учета, разработаны планы по устранению нарушений, усилен контроль со стороны Управления муниципальной службы и кадровой </w:t>
            </w:r>
            <w:r w:rsidRPr="00C85655">
              <w:lastRenderedPageBreak/>
              <w:t>политики администрации за соблюдением норм федерального законодательства по главным</w:t>
            </w:r>
            <w:proofErr w:type="gramEnd"/>
            <w:r w:rsidRPr="00C85655">
              <w:t xml:space="preserve"> </w:t>
            </w:r>
            <w:proofErr w:type="gramStart"/>
            <w:r w:rsidRPr="00C85655">
              <w:t>распорядителям бюджетных средств, за выполнением муниципального задания муниципальными учреждениями, за повышением эффективности использования имущества, МАУ «КЦ «Автоград» обеспечен возврат средств, использованных не по целевому назначению, в бюджет городского округа в полном объеме за счет средств от приносящей доход деятельности, МАУК ПКИТ им. К.Г.Сахарова внесены изменения в Положение о распределении стимулирующего фонда оплаты труда работников.</w:t>
            </w:r>
            <w:proofErr w:type="gramEnd"/>
            <w:r w:rsidRPr="00C85655">
              <w:t xml:space="preserve"> </w:t>
            </w:r>
            <w:r w:rsidRPr="00C85655">
              <w:br/>
              <w:t xml:space="preserve">В 2022 продолжена работа по ранее проведенным проверкам по оформлению права муниципальной собственности на объекты теплоэнергетики ЗАО «ЖИЛОЙ ДОМ» и ОАО «Электросеть». В отношении 3 объектов зарегистрировано право муниципальной собственности, по 1 объекту в судебном порядке признается право муниципальной собственности. В отношении 7 объектов, с учетом новых требований </w:t>
            </w:r>
            <w:proofErr w:type="spellStart"/>
            <w:r w:rsidRPr="00C85655">
              <w:t>Росреестра</w:t>
            </w:r>
            <w:proofErr w:type="spellEnd"/>
            <w:r w:rsidRPr="00C85655">
              <w:t xml:space="preserve">, проводились необходимые мероприятия (подготовка актов выявления и получение согласия собственников земельных участков). </w:t>
            </w:r>
            <w:r w:rsidRPr="00C85655">
              <w:br/>
            </w:r>
            <w:proofErr w:type="gramStart"/>
            <w:r w:rsidRPr="00C85655">
              <w:t>По замечаниям, поступившим от контрольно-счетной палаты городского округа Тольятти, в рамках проведения финансово-экономической экспертизы проектов муниципальных правовых актов городского округа Тольятти (включая обоснованность финансово-экономических обоснований) в части установления расходных обязательств городского округа, а также муниципальных программ (приведения объемов финансового обеспечения в соответствие с утвержденными бюджетными ассигнованиями), усилен контроль за своевременным представлением и качеством проектов муниципальных правовых актов для проведения экспертизы</w:t>
            </w:r>
            <w:proofErr w:type="gramEnd"/>
            <w:r w:rsidRPr="00C85655">
              <w:t xml:space="preserve">. </w:t>
            </w:r>
            <w:r w:rsidRPr="00C85655">
              <w:br/>
              <w:t>По итогам проведенных контрольных мероприятий усилен внутренний финансовый контроль отраслевых (функциональных) органов администрации и подведомственных им организаций, в контрольно-счетную палату городского округа Тольятти предоставлены информация и пояснения об устранении выявленных нарушений.</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1.20</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усилить </w:t>
            </w:r>
            <w:proofErr w:type="gramStart"/>
            <w:r>
              <w:t>контроль за</w:t>
            </w:r>
            <w:proofErr w:type="gramEnd"/>
            <w:r>
              <w:t xml:space="preserve"> работой структурных подразделений </w:t>
            </w:r>
            <w:r>
              <w:lastRenderedPageBreak/>
              <w:t xml:space="preserve">администрации городского округа Тольятти, не допускать повторных фактов нарушения законодательства о противодействии коррупции;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spacing w:after="240" w:afterAutospacing="0"/>
              <w:jc w:val="left"/>
            </w:pPr>
            <w:r w:rsidRPr="00C85655">
              <w:lastRenderedPageBreak/>
              <w:t xml:space="preserve">В администрации городского округа Тольятти структурным подразделением, уполномоченным на профилактику коррупционных правонарушений, является </w:t>
            </w:r>
            <w:r w:rsidRPr="00C85655">
              <w:lastRenderedPageBreak/>
              <w:t>Отдел профилактики коррупционных и иных правонарушений Управления муниципальной службы и кадровой политики (далее – Отдел).</w:t>
            </w:r>
            <w:r w:rsidRPr="00C85655">
              <w:br/>
            </w:r>
            <w:proofErr w:type="gramStart"/>
            <w:r w:rsidRPr="00C85655">
              <w:t>Отделом, помимо проведения проверок по фактам нарушений муниципальными служащими антикоррупционного законодательства, проводятся проверки по всем фактам нарушений законодательства Российской Федерации, субъекта РФ, а также муниципальных нормативных актов, отраженным в поступивших актах прокурорского реагирования, актах, составленных контрольно-счетными органами, обращениях, жалобах граждан и юридических лиц и органов государственной власти, органов власти субъектов РФ.</w:t>
            </w:r>
            <w:proofErr w:type="gramEnd"/>
            <w:r w:rsidRPr="00C85655">
              <w:br/>
              <w:t>При подтверждении в ходе проверки фактов нарушений со стороны работников администрации городского округа Тольятти, рассматривается вопрос о применении к виновным лицам мер дисциплинарной ответственности.</w:t>
            </w:r>
            <w:r w:rsidRPr="00C85655">
              <w:br/>
              <w:t xml:space="preserve">Формами </w:t>
            </w:r>
            <w:proofErr w:type="gramStart"/>
            <w:r w:rsidRPr="00C85655">
              <w:t>контроля за</w:t>
            </w:r>
            <w:proofErr w:type="gramEnd"/>
            <w:r w:rsidRPr="00C85655">
              <w:t xml:space="preserve"> соблюдением муниципальными служащими законодательства в сфере противодействия коррупции, проводимого Отделом, являются:</w:t>
            </w:r>
            <w:r w:rsidRPr="00C85655">
              <w:br/>
              <w:t>- своевременное принятие мер по актам прокурорского реагирования об устранении нарушений антик</w:t>
            </w:r>
            <w:r w:rsidR="00672010">
              <w:t>оррупционного законодательства;</w:t>
            </w:r>
            <w:r w:rsidRPr="00C85655">
              <w:br/>
              <w:t>- проведение проверок по информации, поступившей от государственных, муниципальных органов, общественных организаций, СМИ, граждан, юридических лиц о нарушении антикоррупционного законодательства и законодательства о муниципальной службе;</w:t>
            </w:r>
            <w:r w:rsidRPr="00C85655">
              <w:br/>
              <w:t xml:space="preserve">- </w:t>
            </w:r>
            <w:proofErr w:type="gramStart"/>
            <w:r w:rsidRPr="00C85655">
              <w:t>осуществление внутреннего контроля за предоставлением служащими сведений о доходах, расходах, об имуществе и обязательствах имущественного характера;</w:t>
            </w:r>
            <w:r w:rsidRPr="00C85655">
              <w:br/>
              <w:t>- проведение внутреннего контроля за уведомлением муниципальными служащими работодателя о намерении осуществлять иную оплачиваемую деятельность;</w:t>
            </w:r>
            <w:r w:rsidRPr="00C85655">
              <w:br/>
              <w:t>- осуществление контроля за уведомлением работодателями в сроки, установленные законодательством, о заключении с гражданами, замещавшими должности муниципальной службы трудовых договоров и (или) гражданско-правовых договоров;</w:t>
            </w:r>
            <w:proofErr w:type="gramEnd"/>
            <w:r w:rsidRPr="00C85655">
              <w:br/>
              <w:t xml:space="preserve">- осуществление контроля при рассмотрении вопросов на заседании Комиссии по урегулированию конфликта интересов; </w:t>
            </w:r>
            <w:r w:rsidRPr="00C85655">
              <w:br/>
            </w:r>
            <w:r w:rsidRPr="00C85655">
              <w:lastRenderedPageBreak/>
              <w:t xml:space="preserve">- </w:t>
            </w:r>
            <w:proofErr w:type="gramStart"/>
            <w:r w:rsidRPr="00C85655">
              <w:t>осуществление контроля при проведении проверок в отношении муниципальных служащих с использованием Единого государственного реестра юридических лиц и Единого государственного реестра индивидуальных предпринимателей на предмет наличия сведений о них в качестве руководителя или учредителя (участника) юридического лица, а также на предмет наличия сведений о государственной регистрации в качестве ИП, кре</w:t>
            </w:r>
            <w:r w:rsidR="00672010">
              <w:t>стьянских (фермерских) хозяйств</w:t>
            </w:r>
            <w:r w:rsidRPr="00C85655">
              <w:t xml:space="preserve">. </w:t>
            </w:r>
            <w:proofErr w:type="gramEnd"/>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1.21</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работу по развитию и содержанию знаковых и социально значимых мест, включенных в Перечень знаковых и социально значимых мест городского округа Тольятти, утвержденный решением Думы городского округа Тольятти от 17.06.2015 № 750;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672010">
            <w:pPr>
              <w:pStyle w:val="4"/>
              <w:jc w:val="left"/>
            </w:pPr>
            <w:r w:rsidRPr="00C85655">
              <w:t>Перечень знаковых и социально значимых мест городского округа Тольятти, утвержден решением думы городского округа Тольятти Самарской области от 17.06.2015 № 750 (далее – Перечень), и включает в себя территории, относящиеся к территориям общего пользования, а также территории (объекты), расположенные на территориях и зданиях учреждений отраслей «Образование», «Физическая культура и спорт», «Культура».</w:t>
            </w:r>
            <w:r w:rsidRPr="00C85655">
              <w:br/>
            </w:r>
            <w:proofErr w:type="gramStart"/>
            <w:r w:rsidRPr="00C85655">
              <w:t>Реализация мероприятий по обеспечению комплексного благоустройства и содержания знаковых и социально значимых мест на территориях общего пользования осуществляется в соответствии с муниципальными программами «Благоустройство территории городского округа Тольятти на 2015 - 2024 годы», утвержденной постановлением мэрии городского округа Тольятти от 24.03.2015 № 905-п/1, и «Тольятти – чистый город» на 2020–2024 годы, утвержденной постановлением мэрии городского округа Тольятти от 02.08.2019 № 2078-п/1 (далее</w:t>
            </w:r>
            <w:proofErr w:type="gramEnd"/>
            <w:r w:rsidRPr="00C85655">
              <w:t xml:space="preserve"> – </w:t>
            </w:r>
            <w:proofErr w:type="gramStart"/>
            <w:r w:rsidRPr="00C85655">
              <w:t>Программы), в рамках бюджетного финансирования.</w:t>
            </w:r>
            <w:proofErr w:type="gramEnd"/>
            <w:r w:rsidRPr="00C85655">
              <w:t xml:space="preserve"> Во исполнение муниципального контракта в 2022 году АО «</w:t>
            </w:r>
            <w:proofErr w:type="spellStart"/>
            <w:r w:rsidRPr="00C85655">
              <w:t>ЭкоСфера</w:t>
            </w:r>
            <w:proofErr w:type="spellEnd"/>
            <w:r w:rsidRPr="00C85655">
              <w:t>» проведены работы по содержанию 114 объектов, включенных в Перечень, ООО «ХСК» проведены работы</w:t>
            </w:r>
            <w:r w:rsidR="00672010">
              <w:t xml:space="preserve"> по</w:t>
            </w:r>
            <w:r w:rsidRPr="00C85655">
              <w:t xml:space="preserve"> благоустройству территории вокруг садово-парковой композиции </w:t>
            </w:r>
            <w:proofErr w:type="spellStart"/>
            <w:r w:rsidRPr="00C85655">
              <w:t>Пальмиро</w:t>
            </w:r>
            <w:proofErr w:type="spellEnd"/>
            <w:r w:rsidRPr="00C85655">
              <w:t xml:space="preserve"> Тольятти (устройство твердых покрытий из брусчатки, лестницы, демонтажные работы, озеленение). </w:t>
            </w:r>
            <w:proofErr w:type="gramStart"/>
            <w:r w:rsidRPr="00C85655">
              <w:t xml:space="preserve">Также, ООО «СЕРВИС ЭЛЕКТРО СНАБ» проведены работы по устройству системы видеонаблюдения и подсветки территории вокруг садово-парковой композиции </w:t>
            </w:r>
            <w:proofErr w:type="spellStart"/>
            <w:r w:rsidRPr="00C85655">
              <w:t>Пальмиро</w:t>
            </w:r>
            <w:proofErr w:type="spellEnd"/>
            <w:r w:rsidRPr="00C85655">
              <w:t xml:space="preserve"> Тольятти и скульптурной композиции Николая Чудотворца в сквере Центральной площади, ООО «Федерация-Т» проведены работы по благоустройству территории вокруг садово-парковой композиции </w:t>
            </w:r>
            <w:proofErr w:type="spellStart"/>
            <w:r w:rsidRPr="00C85655">
              <w:t>Пальмиро</w:t>
            </w:r>
            <w:proofErr w:type="spellEnd"/>
            <w:r w:rsidRPr="00C85655">
              <w:t xml:space="preserve"> Тольятти (облицовка гранитными </w:t>
            </w:r>
            <w:r w:rsidRPr="00C85655">
              <w:lastRenderedPageBreak/>
              <w:t xml:space="preserve">плитами торца основания памятника в связи с необходимостью восстановления после совершенных </w:t>
            </w:r>
            <w:proofErr w:type="spellStart"/>
            <w:r w:rsidRPr="00C85655">
              <w:t>вандальных</w:t>
            </w:r>
            <w:proofErr w:type="spellEnd"/>
            <w:r w:rsidRPr="00C85655">
              <w:t xml:space="preserve"> действий).</w:t>
            </w:r>
            <w:proofErr w:type="gramEnd"/>
            <w:r w:rsidRPr="00C85655">
              <w:br/>
              <w:t>Содержание территорий (объектов), расположенных на территориях и зданиях учреждений отраслей «Образование», «Физическая культура и спорт», «Культура» осуществляется в рамках текущей финансово-хозяйственной деят</w:t>
            </w:r>
            <w:r w:rsidR="00672010">
              <w:t>ельности учреждений. При этом в</w:t>
            </w:r>
            <w:r w:rsidRPr="00C85655">
              <w:t xml:space="preserve"> 2022 году реализован 1 этап проекта «Театральная площадь». Прое</w:t>
            </w:r>
            <w:proofErr w:type="gramStart"/>
            <w:r w:rsidRPr="00C85655">
              <w:t>кт вкл</w:t>
            </w:r>
            <w:proofErr w:type="gramEnd"/>
            <w:r w:rsidRPr="00C85655">
              <w:t>ючает -</w:t>
            </w:r>
            <w:r w:rsidR="00672010">
              <w:t xml:space="preserve"> </w:t>
            </w:r>
            <w:r w:rsidRPr="00C85655">
              <w:t xml:space="preserve">восстановление Театра юного зрителя «Дилижанс» (проспект Степана Разина, д. 93) и благоустройство прилегающей территории в рамках Губернаторского проекта «Поддержка инициатив населения муниципальных образований в Самарской области на 2017-2025 годы». </w:t>
            </w:r>
            <w:proofErr w:type="gramStart"/>
            <w:r w:rsidRPr="00C85655">
              <w:t>В результате первого этапа в здании театра со с</w:t>
            </w:r>
            <w:r w:rsidR="00672010">
              <w:t>тороны проспекта Степана Разина</w:t>
            </w:r>
            <w:r w:rsidRPr="00C85655">
              <w:t xml:space="preserve"> установлены витражи на металлических конструкциях с остеклением, обустроены входные группы (главный вход и вход в кассовый зал) посредством установки дверей алюминиевых двупольных распашных, установлены новые окна из ПВХ во всех рабочих кабинетах. </w:t>
            </w:r>
            <w:r w:rsidRPr="00C85655">
              <w:br/>
              <w:t xml:space="preserve">2 этап проекта – благоустройство прилегающей территории планируется реализовать в 2024-2025 годах. </w:t>
            </w:r>
            <w:proofErr w:type="gramEnd"/>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lastRenderedPageBreak/>
              <w:t>1.22</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r>
              <w:t xml:space="preserve">продолжить работы по межеванию и постановке на кадастровый учет иных категорий земель, покрытых лесами, расположенных в границах городского округа Тольятти, по оформлению лесов, расположенных в границах городского округа Тольятти, в муниципальную собственность; </w:t>
            </w:r>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547467">
            <w:pPr>
              <w:pStyle w:val="4"/>
              <w:jc w:val="left"/>
            </w:pPr>
            <w:proofErr w:type="gramStart"/>
            <w:r w:rsidRPr="00C85655">
              <w:t>Во исполнение решения Центрального районного суда г. Тольятти Самарской области от 29.06.2015 по делу № 2-4071/2015, постановлениями администрации городского округа Тольятти от 24.08.2016 № 2701-п/1, от 16.12.2016 № 4330-п/1, от 28.12.2016 № 4548-п/1, от 27.01.2017 № 306-п/1, от 26.03.2018 № 974-п/1, от 17.03.2020 № 800-п/1, от 02.09.2020 № 2635-п/1, от 02.10.2020 № 3005-п/1 в реестр муниципальной собственности городского округа Тольятти</w:t>
            </w:r>
            <w:proofErr w:type="gramEnd"/>
            <w:r w:rsidRPr="00C85655">
              <w:t xml:space="preserve"> были включены 187 земельных участков общей площадью 75 988 797,1 кв. м. Сняты с кадастрового учета 16 участков (в связи с корректировкой земельных участков по границам леса, под свалками).</w:t>
            </w:r>
            <w:r w:rsidRPr="00C85655">
              <w:br/>
              <w:t xml:space="preserve">По состоянию на 31.12.2022 в реестре муниципальной собственности городского округа Тольятти учитываются 171 лесной земельный участок общей площадью 63 661 991,0 кв. м. </w:t>
            </w:r>
          </w:p>
        </w:tc>
      </w:tr>
      <w:tr w:rsidR="00C51BD7" w:rsidTr="0027565C">
        <w:trPr>
          <w:divId w:val="700857383"/>
          <w:jc w:val="center"/>
        </w:trPr>
        <w:tc>
          <w:tcPr>
            <w:tcW w:w="225" w:type="pct"/>
            <w:tcBorders>
              <w:top w:val="outset" w:sz="6" w:space="0" w:color="000000"/>
              <w:left w:val="outset" w:sz="6" w:space="0" w:color="000000"/>
              <w:bottom w:val="outset" w:sz="6" w:space="0" w:color="000000"/>
              <w:right w:val="outset" w:sz="6" w:space="0" w:color="000000"/>
            </w:tcBorders>
            <w:hideMark/>
          </w:tcPr>
          <w:p w:rsidR="00C51BD7" w:rsidRDefault="006F5BF1">
            <w:pPr>
              <w:pStyle w:val="3"/>
            </w:pPr>
            <w:r>
              <w:t>1.23</w:t>
            </w:r>
          </w:p>
        </w:tc>
        <w:tc>
          <w:tcPr>
            <w:tcW w:w="1501" w:type="pct"/>
            <w:tcBorders>
              <w:top w:val="outset" w:sz="6" w:space="0" w:color="000000"/>
              <w:left w:val="outset" w:sz="6" w:space="0" w:color="000000"/>
              <w:bottom w:val="outset" w:sz="6" w:space="0" w:color="000000"/>
              <w:right w:val="outset" w:sz="6" w:space="0" w:color="000000"/>
            </w:tcBorders>
            <w:hideMark/>
          </w:tcPr>
          <w:p w:rsidR="00C51BD7" w:rsidRDefault="006F5BF1" w:rsidP="00547467">
            <w:pPr>
              <w:pStyle w:val="4"/>
              <w:jc w:val="left"/>
            </w:pPr>
            <w:proofErr w:type="gramStart"/>
            <w:r>
              <w:t xml:space="preserve">в рамках обеспечения первичных мер пожарной безопасности в лесах, </w:t>
            </w:r>
            <w:r>
              <w:lastRenderedPageBreak/>
              <w:t xml:space="preserve">расположенных в границах городского округа Тольятти, продолжить работу по увеличению финансирования мероприятий по расчистке неликвидных лесных участков, пострадавших в результате засухи и последствий лесных пожаров на территории Тольяттинского лесничества, </w:t>
            </w:r>
            <w:proofErr w:type="spellStart"/>
            <w:r>
              <w:t>лесовосстановлению</w:t>
            </w:r>
            <w:proofErr w:type="spellEnd"/>
            <w:r>
              <w:t xml:space="preserve">, внедрению новых технологий для оперативного обнаружения и тушения лесных пожаров и на приобретение новой лесохозяйственной техники. </w:t>
            </w:r>
            <w:proofErr w:type="gramEnd"/>
          </w:p>
        </w:tc>
        <w:tc>
          <w:tcPr>
            <w:tcW w:w="3274" w:type="pct"/>
            <w:tcBorders>
              <w:top w:val="outset" w:sz="6" w:space="0" w:color="000000"/>
              <w:left w:val="outset" w:sz="6" w:space="0" w:color="000000"/>
              <w:bottom w:val="outset" w:sz="6" w:space="0" w:color="000000"/>
              <w:right w:val="outset" w:sz="6" w:space="0" w:color="000000"/>
            </w:tcBorders>
            <w:hideMark/>
          </w:tcPr>
          <w:p w:rsidR="00C51BD7" w:rsidRPr="00C85655" w:rsidRDefault="006F5BF1" w:rsidP="00225E98">
            <w:pPr>
              <w:pStyle w:val="4"/>
              <w:jc w:val="left"/>
            </w:pPr>
            <w:r w:rsidRPr="00C85655">
              <w:lastRenderedPageBreak/>
              <w:t xml:space="preserve">В бюджете городского округа Тольятти ежегодно предусматривается рост расходов на мероприятия в рамках муниципальной программы «Охрана, защита и </w:t>
            </w:r>
            <w:r w:rsidRPr="00C85655">
              <w:lastRenderedPageBreak/>
              <w:t>воспроизводство лесов, расположенных в границах городского округа Тольятти, на 2019-2023 годы», утвержденной постановлением Администрации городского округа Тольятти С</w:t>
            </w:r>
            <w:r w:rsidR="00E02148">
              <w:t>амарской области от 10.07.2018 № </w:t>
            </w:r>
            <w:r w:rsidRPr="00C85655">
              <w:t>2025-п/1.</w:t>
            </w:r>
            <w:r w:rsidRPr="00C85655">
              <w:br/>
              <w:t xml:space="preserve">Активно проводится работа с Правительством Самарской области по привлечению средств областного бюджета на приобретение техники для выполнения </w:t>
            </w:r>
            <w:proofErr w:type="spellStart"/>
            <w:r w:rsidRPr="00C85655">
              <w:t>лесокультурных</w:t>
            </w:r>
            <w:proofErr w:type="spellEnd"/>
            <w:r w:rsidRPr="00C85655">
              <w:t xml:space="preserve"> работ и расчистки неликвидных лесных участков, а также на выполнение работ по обеспечению воспроизводства городских лесов.</w:t>
            </w:r>
            <w:r w:rsidRPr="00C85655">
              <w:br/>
            </w:r>
            <w:proofErr w:type="gramStart"/>
            <w:r w:rsidRPr="00C85655">
              <w:t>На протяжении 2020-2022 финансирование мероприятий программы составило:</w:t>
            </w:r>
            <w:r w:rsidRPr="00C85655">
              <w:br/>
              <w:t>- в 2020 году – 25 755 тыс. руб., в том числе за счет средств вышестоящих бюджетов</w:t>
            </w:r>
            <w:r w:rsidR="00E02148">
              <w:t xml:space="preserve"> – 14 531 тыс. руб</w:t>
            </w:r>
            <w:r w:rsidR="00FC5C01">
              <w:t>.;</w:t>
            </w:r>
            <w:r w:rsidR="00E02148">
              <w:br/>
              <w:t>- в 2021 году</w:t>
            </w:r>
            <w:r w:rsidRPr="00C85655">
              <w:t xml:space="preserve"> – 26 864 тыс. руб. в том числе за счет средств вышестоящих бюджетов</w:t>
            </w:r>
            <w:r w:rsidR="00FC5C01">
              <w:t xml:space="preserve"> – 12 527 тыс. руб.;</w:t>
            </w:r>
            <w:r w:rsidR="00E02148">
              <w:t xml:space="preserve"> </w:t>
            </w:r>
            <w:r w:rsidR="00E02148">
              <w:br/>
              <w:t>- в 2022 году</w:t>
            </w:r>
            <w:r w:rsidRPr="00C85655">
              <w:t xml:space="preserve"> – 86 230 тыс. руб. в том числе за счет средств вышестоящих бюджетов</w:t>
            </w:r>
            <w:proofErr w:type="gramEnd"/>
            <w:r w:rsidRPr="00C85655">
              <w:t xml:space="preserve"> – </w:t>
            </w:r>
            <w:proofErr w:type="gramStart"/>
            <w:r w:rsidRPr="00C85655">
              <w:t>59 123 тыс. руб.</w:t>
            </w:r>
            <w:r w:rsidRPr="00C85655">
              <w:br/>
              <w:t xml:space="preserve">Силами подведомственных учреждений - МБУ </w:t>
            </w:r>
            <w:proofErr w:type="spellStart"/>
            <w:r w:rsidRPr="00C85655">
              <w:t>Зеленстрой</w:t>
            </w:r>
            <w:proofErr w:type="spellEnd"/>
            <w:r w:rsidRPr="00C85655">
              <w:t xml:space="preserve"> и МКУ Тольяттинское лесничество в 2022 году были выполнены работы по устройству противопожарных минерализованных полос (440 км.), содержанию противопожарных резервуаров (3 шт.), расчистке неликвидных лесных участков (9,2 га</w:t>
            </w:r>
            <w:r w:rsidR="006B78C6">
              <w:t>.</w:t>
            </w:r>
            <w:r w:rsidRPr="00C85655">
              <w:t>), обустройству, эксплуатации лесных дорог для охраны лесов от пожаров (83,1 км.), санитарному содержанию городских лесов (351,75 га.), ежедневному патрулированию городских лесов (7 979</w:t>
            </w:r>
            <w:proofErr w:type="gramEnd"/>
            <w:r w:rsidRPr="00C85655">
              <w:t xml:space="preserve"> </w:t>
            </w:r>
            <w:proofErr w:type="gramStart"/>
            <w:r w:rsidRPr="00C85655">
              <w:t>га</w:t>
            </w:r>
            <w:proofErr w:type="gramEnd"/>
            <w:r w:rsidR="006B78C6">
              <w:t>.</w:t>
            </w:r>
            <w:r w:rsidRPr="00C85655">
              <w:t xml:space="preserve">) и прочее. С привлечением средств бюджета Самарской области была приобретена техника для расчистки неликвидных лесных участков (5 ед.) и техника для выполнения </w:t>
            </w:r>
            <w:proofErr w:type="spellStart"/>
            <w:r w:rsidRPr="00C85655">
              <w:t>лесокультурных</w:t>
            </w:r>
            <w:proofErr w:type="spellEnd"/>
            <w:r w:rsidRPr="00C85655">
              <w:t xml:space="preserve"> работ (13 ед.).</w:t>
            </w:r>
            <w:r w:rsidRPr="00C85655">
              <w:br/>
            </w:r>
            <w:proofErr w:type="gramStart"/>
            <w:r w:rsidRPr="00C85655">
              <w:t>В целях предотвращения угрозы пожаров и правонарушений на территории лесов в 2022 году в рамках 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2021-2025 годы</w:t>
            </w:r>
            <w:r w:rsidR="00FC5C01">
              <w:t>», утвержденной постановлением а</w:t>
            </w:r>
            <w:r w:rsidRPr="00C85655">
              <w:t>дминистрации городского округа Тольятти С</w:t>
            </w:r>
            <w:r w:rsidR="00E02148">
              <w:t>амарской области от 14.10.2020 № </w:t>
            </w:r>
            <w:r w:rsidRPr="00C85655">
              <w:t>3119-п/1, в</w:t>
            </w:r>
            <w:proofErr w:type="gramEnd"/>
            <w:r w:rsidRPr="00C85655">
              <w:t xml:space="preserve"> </w:t>
            </w:r>
            <w:proofErr w:type="gramStart"/>
            <w:r w:rsidRPr="00C85655">
              <w:t>бюджете</w:t>
            </w:r>
            <w:proofErr w:type="gramEnd"/>
            <w:r w:rsidRPr="00C85655">
              <w:t xml:space="preserve"> города были предусмотрены средства в сумме 5 648 тыс.</w:t>
            </w:r>
            <w:r w:rsidR="00225E98">
              <w:t> </w:t>
            </w:r>
            <w:r w:rsidRPr="00C85655">
              <w:t xml:space="preserve">руб. на приобретение и установку 20 видеокамер по периметру лесного </w:t>
            </w:r>
            <w:r w:rsidRPr="00C85655">
              <w:lastRenderedPageBreak/>
              <w:t>массива.</w:t>
            </w:r>
            <w:r w:rsidRPr="00C85655">
              <w:br/>
            </w:r>
            <w:proofErr w:type="gramStart"/>
            <w:r w:rsidRPr="00C85655">
              <w:t>На расчистку неликвидных лесных участков, пострадавших от засухи и последствий лесных пожаров в 2022 году дополнительно были выделены средства из резервного фонда в соответствии с постановлением администрации городского округа Тольятти от 03.08.2022 № 1670-п/1 «Об использовании бюджетных ассигнований резервного фонда администрации городского округа Тольятти» в сумме 17 268 тыс.</w:t>
            </w:r>
            <w:r w:rsidR="006B78C6">
              <w:t> </w:t>
            </w:r>
            <w:r w:rsidRPr="00C85655">
              <w:t>руб. Работы выполнены на участке площадью 77,7 га.</w:t>
            </w:r>
            <w:proofErr w:type="gramEnd"/>
          </w:p>
        </w:tc>
      </w:tr>
    </w:tbl>
    <w:p w:rsidR="006F5BF1" w:rsidRDefault="006F5BF1">
      <w:pPr>
        <w:spacing w:before="0" w:beforeAutospacing="0" w:after="0" w:afterAutospacing="0"/>
        <w:divId w:val="700857383"/>
        <w:rPr>
          <w:rFonts w:eastAsia="Times New Roman"/>
        </w:rPr>
      </w:pPr>
    </w:p>
    <w:sectPr w:rsidR="006F5BF1" w:rsidSect="00086BEB">
      <w:headerReference w:type="default" r:id="rId8"/>
      <w:pgSz w:w="16838" w:h="11906" w:orient="landscape"/>
      <w:pgMar w:top="567" w:right="1134" w:bottom="1134" w:left="1134" w:header="709" w:footer="709" w:gutter="0"/>
      <w:pgNumType w:start="7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47" w:rsidRDefault="00E12747" w:rsidP="00DA30E3">
      <w:pPr>
        <w:spacing w:before="0" w:after="0"/>
      </w:pPr>
      <w:r>
        <w:separator/>
      </w:r>
    </w:p>
  </w:endnote>
  <w:endnote w:type="continuationSeparator" w:id="0">
    <w:p w:rsidR="00E12747" w:rsidRDefault="00E12747" w:rsidP="00DA3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47" w:rsidRDefault="00E12747" w:rsidP="00DA30E3">
      <w:pPr>
        <w:spacing w:before="0" w:after="0"/>
      </w:pPr>
      <w:r>
        <w:separator/>
      </w:r>
    </w:p>
  </w:footnote>
  <w:footnote w:type="continuationSeparator" w:id="0">
    <w:p w:rsidR="00E12747" w:rsidRDefault="00E12747" w:rsidP="00DA3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27993"/>
      <w:docPartObj>
        <w:docPartGallery w:val="Page Numbers (Top of Page)"/>
        <w:docPartUnique/>
      </w:docPartObj>
    </w:sdtPr>
    <w:sdtEndPr/>
    <w:sdtContent>
      <w:p w:rsidR="00DA30E3" w:rsidRDefault="00DA30E3">
        <w:pPr>
          <w:pStyle w:val="a4"/>
          <w:jc w:val="center"/>
        </w:pPr>
        <w:r>
          <w:fldChar w:fldCharType="begin"/>
        </w:r>
        <w:r>
          <w:instrText>PAGE   \* MERGEFORMAT</w:instrText>
        </w:r>
        <w:r>
          <w:fldChar w:fldCharType="separate"/>
        </w:r>
        <w:r w:rsidR="00086BEB">
          <w:rPr>
            <w:noProof/>
          </w:rPr>
          <w:t>711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55"/>
    <w:rsid w:val="00086BEB"/>
    <w:rsid w:val="0013452A"/>
    <w:rsid w:val="00225E98"/>
    <w:rsid w:val="0027565C"/>
    <w:rsid w:val="003D1FA3"/>
    <w:rsid w:val="003E7353"/>
    <w:rsid w:val="004477E5"/>
    <w:rsid w:val="005460E6"/>
    <w:rsid w:val="00547467"/>
    <w:rsid w:val="00672010"/>
    <w:rsid w:val="006B09AC"/>
    <w:rsid w:val="006B78C6"/>
    <w:rsid w:val="006F5BF1"/>
    <w:rsid w:val="00704FAB"/>
    <w:rsid w:val="00867805"/>
    <w:rsid w:val="00893B3E"/>
    <w:rsid w:val="0096444B"/>
    <w:rsid w:val="00964D65"/>
    <w:rsid w:val="0096769A"/>
    <w:rsid w:val="00972D5F"/>
    <w:rsid w:val="00AF4BF8"/>
    <w:rsid w:val="00B82FE5"/>
    <w:rsid w:val="00C51BD7"/>
    <w:rsid w:val="00C52EF5"/>
    <w:rsid w:val="00C85655"/>
    <w:rsid w:val="00C85F24"/>
    <w:rsid w:val="00DA30E3"/>
    <w:rsid w:val="00E02148"/>
    <w:rsid w:val="00E12747"/>
    <w:rsid w:val="00ED0B1D"/>
    <w:rsid w:val="00F155B7"/>
    <w:rsid w:val="00F656F9"/>
    <w:rsid w:val="00FC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pPr>
      <w:jc w:val="both"/>
    </w:pPr>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paragraph" w:styleId="a4">
    <w:name w:val="header"/>
    <w:basedOn w:val="a"/>
    <w:link w:val="a5"/>
    <w:uiPriority w:val="99"/>
    <w:unhideWhenUsed/>
    <w:rsid w:val="00DA30E3"/>
    <w:pPr>
      <w:tabs>
        <w:tab w:val="center" w:pos="4677"/>
        <w:tab w:val="right" w:pos="9355"/>
      </w:tabs>
      <w:spacing w:before="0" w:after="0"/>
    </w:pPr>
  </w:style>
  <w:style w:type="character" w:customStyle="1" w:styleId="a5">
    <w:name w:val="Верхний колонтитул Знак"/>
    <w:basedOn w:val="a0"/>
    <w:link w:val="a4"/>
    <w:uiPriority w:val="99"/>
    <w:rsid w:val="00DA30E3"/>
    <w:rPr>
      <w:rFonts w:eastAsiaTheme="minorEastAsia"/>
      <w:sz w:val="24"/>
      <w:szCs w:val="24"/>
    </w:rPr>
  </w:style>
  <w:style w:type="paragraph" w:styleId="a6">
    <w:name w:val="footer"/>
    <w:basedOn w:val="a"/>
    <w:link w:val="a7"/>
    <w:uiPriority w:val="99"/>
    <w:unhideWhenUsed/>
    <w:rsid w:val="00DA30E3"/>
    <w:pPr>
      <w:tabs>
        <w:tab w:val="center" w:pos="4677"/>
        <w:tab w:val="right" w:pos="9355"/>
      </w:tabs>
      <w:spacing w:before="0" w:after="0"/>
    </w:pPr>
  </w:style>
  <w:style w:type="character" w:customStyle="1" w:styleId="a7">
    <w:name w:val="Нижний колонтитул Знак"/>
    <w:basedOn w:val="a0"/>
    <w:link w:val="a6"/>
    <w:uiPriority w:val="99"/>
    <w:rsid w:val="00DA30E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pPr>
      <w:jc w:val="both"/>
    </w:pPr>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paragraph" w:styleId="a4">
    <w:name w:val="header"/>
    <w:basedOn w:val="a"/>
    <w:link w:val="a5"/>
    <w:uiPriority w:val="99"/>
    <w:unhideWhenUsed/>
    <w:rsid w:val="00DA30E3"/>
    <w:pPr>
      <w:tabs>
        <w:tab w:val="center" w:pos="4677"/>
        <w:tab w:val="right" w:pos="9355"/>
      </w:tabs>
      <w:spacing w:before="0" w:after="0"/>
    </w:pPr>
  </w:style>
  <w:style w:type="character" w:customStyle="1" w:styleId="a5">
    <w:name w:val="Верхний колонтитул Знак"/>
    <w:basedOn w:val="a0"/>
    <w:link w:val="a4"/>
    <w:uiPriority w:val="99"/>
    <w:rsid w:val="00DA30E3"/>
    <w:rPr>
      <w:rFonts w:eastAsiaTheme="minorEastAsia"/>
      <w:sz w:val="24"/>
      <w:szCs w:val="24"/>
    </w:rPr>
  </w:style>
  <w:style w:type="paragraph" w:styleId="a6">
    <w:name w:val="footer"/>
    <w:basedOn w:val="a"/>
    <w:link w:val="a7"/>
    <w:uiPriority w:val="99"/>
    <w:unhideWhenUsed/>
    <w:rsid w:val="00DA30E3"/>
    <w:pPr>
      <w:tabs>
        <w:tab w:val="center" w:pos="4677"/>
        <w:tab w:val="right" w:pos="9355"/>
      </w:tabs>
      <w:spacing w:before="0" w:after="0"/>
    </w:pPr>
  </w:style>
  <w:style w:type="character" w:customStyle="1" w:styleId="a7">
    <w:name w:val="Нижний колонтитул Знак"/>
    <w:basedOn w:val="a0"/>
    <w:link w:val="a6"/>
    <w:uiPriority w:val="99"/>
    <w:rsid w:val="00DA30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7383">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E1EE54-82AC-4ED5-B833-DF3285D5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32</Pages>
  <Words>10297</Words>
  <Characters>58693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Отображение шаблона информации об исполнении рекомендаций в адрес главы и администрации</vt:lpstr>
    </vt:vector>
  </TitlesOfParts>
  <Company/>
  <LinksUpToDate>false</LinksUpToDate>
  <CharactersWithSpaces>68853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Отображение шаблона информации об исполнении рекомендаций в адрес главы и администрации</dc:title>
  <dc:creator>User</dc:creator>
  <cp:lastModifiedBy>Иванова Анна Рудольфовна</cp:lastModifiedBy>
  <cp:revision>13</cp:revision>
  <dcterms:created xsi:type="dcterms:W3CDTF">2023-03-28T07:15:00Z</dcterms:created>
  <dcterms:modified xsi:type="dcterms:W3CDTF">2023-04-24T04:02:00Z</dcterms:modified>
</cp:coreProperties>
</file>