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0BA4" w:rsidRPr="00443EE9" w:rsidRDefault="00A50BA4" w:rsidP="0090607E">
      <w:pPr>
        <w:tabs>
          <w:tab w:val="left" w:pos="1560"/>
        </w:tabs>
        <w:spacing w:line="276" w:lineRule="auto"/>
        <w:jc w:val="center"/>
        <w:rPr>
          <w:b/>
          <w:sz w:val="24"/>
          <w:szCs w:val="24"/>
          <w:shd w:val="clear" w:color="auto" w:fill="FFFF00"/>
        </w:rPr>
      </w:pPr>
      <w:r w:rsidRPr="00443EE9">
        <w:rPr>
          <w:b/>
          <w:sz w:val="24"/>
          <w:szCs w:val="24"/>
        </w:rPr>
        <w:t>Предварительные итоги</w:t>
      </w:r>
      <w:r w:rsidR="0090607E">
        <w:rPr>
          <w:b/>
          <w:sz w:val="24"/>
          <w:szCs w:val="24"/>
        </w:rPr>
        <w:t xml:space="preserve"> </w:t>
      </w:r>
      <w:r w:rsidRPr="00443EE9">
        <w:rPr>
          <w:b/>
          <w:sz w:val="24"/>
          <w:szCs w:val="24"/>
        </w:rPr>
        <w:t>социально – экономического развития</w:t>
      </w:r>
      <w:r w:rsidR="001F6122" w:rsidRPr="00443EE9">
        <w:rPr>
          <w:b/>
          <w:sz w:val="24"/>
          <w:szCs w:val="24"/>
        </w:rPr>
        <w:t xml:space="preserve"> городского округа Тольятти за </w:t>
      </w:r>
      <w:r w:rsidR="00AA0A92">
        <w:rPr>
          <w:b/>
          <w:sz w:val="24"/>
          <w:szCs w:val="24"/>
        </w:rPr>
        <w:t>1</w:t>
      </w:r>
      <w:r w:rsidR="00A55BAC" w:rsidRPr="00443EE9">
        <w:rPr>
          <w:b/>
          <w:sz w:val="24"/>
          <w:szCs w:val="24"/>
        </w:rPr>
        <w:t xml:space="preserve"> полугодие</w:t>
      </w:r>
      <w:r w:rsidRPr="00443EE9">
        <w:rPr>
          <w:b/>
          <w:sz w:val="24"/>
          <w:szCs w:val="24"/>
        </w:rPr>
        <w:t xml:space="preserve"> 201</w:t>
      </w:r>
      <w:r w:rsidR="005319C7">
        <w:rPr>
          <w:b/>
          <w:sz w:val="24"/>
          <w:szCs w:val="24"/>
        </w:rPr>
        <w:t>9</w:t>
      </w:r>
      <w:r w:rsidRPr="00443EE9">
        <w:rPr>
          <w:b/>
          <w:sz w:val="24"/>
          <w:szCs w:val="24"/>
        </w:rPr>
        <w:t xml:space="preserve"> года и ожидаемые итоги социально – экономического развития городского округа Тольятти за 20</w:t>
      </w:r>
      <w:r w:rsidR="00322960" w:rsidRPr="00443EE9">
        <w:rPr>
          <w:b/>
          <w:sz w:val="24"/>
          <w:szCs w:val="24"/>
        </w:rPr>
        <w:t>1</w:t>
      </w:r>
      <w:r w:rsidR="005319C7">
        <w:rPr>
          <w:b/>
          <w:sz w:val="24"/>
          <w:szCs w:val="24"/>
        </w:rPr>
        <w:t>9</w:t>
      </w:r>
      <w:r w:rsidRPr="00443EE9">
        <w:rPr>
          <w:b/>
          <w:sz w:val="24"/>
          <w:szCs w:val="24"/>
        </w:rPr>
        <w:t xml:space="preserve"> год</w:t>
      </w:r>
    </w:p>
    <w:p w:rsidR="00A50BA4" w:rsidRPr="00443EE9" w:rsidRDefault="00A50BA4" w:rsidP="00443EE9">
      <w:pPr>
        <w:spacing w:line="276" w:lineRule="auto"/>
        <w:ind w:firstLine="709"/>
        <w:jc w:val="center"/>
        <w:rPr>
          <w:b/>
          <w:sz w:val="24"/>
          <w:szCs w:val="24"/>
          <w:shd w:val="clear" w:color="auto" w:fill="FFFF00"/>
        </w:rPr>
      </w:pPr>
    </w:p>
    <w:p w:rsidR="00443D9E" w:rsidRPr="00443D9E" w:rsidRDefault="00443D9E" w:rsidP="00443D9E">
      <w:pPr>
        <w:spacing w:line="276" w:lineRule="auto"/>
        <w:ind w:firstLine="709"/>
        <w:jc w:val="both"/>
        <w:rPr>
          <w:sz w:val="24"/>
          <w:szCs w:val="24"/>
        </w:rPr>
      </w:pPr>
      <w:r w:rsidRPr="00443D9E">
        <w:rPr>
          <w:sz w:val="24"/>
          <w:szCs w:val="24"/>
        </w:rPr>
        <w:t xml:space="preserve">Основные статистические показатели </w:t>
      </w:r>
      <w:r w:rsidR="004B73E4">
        <w:rPr>
          <w:sz w:val="24"/>
          <w:szCs w:val="24"/>
        </w:rPr>
        <w:t xml:space="preserve">текущего года </w:t>
      </w:r>
      <w:r w:rsidRPr="00443D9E">
        <w:rPr>
          <w:sz w:val="24"/>
          <w:szCs w:val="24"/>
        </w:rPr>
        <w:t>свидетельствуют о том, что социально-экономическая ситуация в город</w:t>
      </w:r>
      <w:r w:rsidR="007A6506">
        <w:rPr>
          <w:sz w:val="24"/>
          <w:szCs w:val="24"/>
        </w:rPr>
        <w:t>ском округе Тольятти</w:t>
      </w:r>
      <w:r w:rsidRPr="00443D9E">
        <w:rPr>
          <w:sz w:val="24"/>
          <w:szCs w:val="24"/>
        </w:rPr>
        <w:t xml:space="preserve"> остается стабильной. Вместе с тем, наблюдается замедление динамики по ряду показателей в сравнении с высокой базой прошлого года. </w:t>
      </w:r>
      <w:r w:rsidR="006F6BDD" w:rsidRPr="006F6BDD">
        <w:rPr>
          <w:sz w:val="24"/>
          <w:szCs w:val="24"/>
        </w:rPr>
        <w:t>Продолжил</w:t>
      </w:r>
      <w:r w:rsidR="007A6506">
        <w:rPr>
          <w:sz w:val="24"/>
          <w:szCs w:val="24"/>
        </w:rPr>
        <w:t>ся</w:t>
      </w:r>
      <w:r w:rsidR="006F6BDD" w:rsidRPr="006F6BDD">
        <w:rPr>
          <w:sz w:val="24"/>
          <w:szCs w:val="24"/>
        </w:rPr>
        <w:t xml:space="preserve"> </w:t>
      </w:r>
      <w:r w:rsidR="007A6506">
        <w:rPr>
          <w:sz w:val="24"/>
          <w:szCs w:val="24"/>
        </w:rPr>
        <w:t>рост</w:t>
      </w:r>
      <w:r w:rsidR="006F6BDD" w:rsidRPr="006F6BDD">
        <w:rPr>
          <w:sz w:val="24"/>
          <w:szCs w:val="24"/>
        </w:rPr>
        <w:t xml:space="preserve"> объемов </w:t>
      </w:r>
      <w:r w:rsidR="008B3795">
        <w:rPr>
          <w:sz w:val="24"/>
          <w:szCs w:val="24"/>
        </w:rPr>
        <w:t xml:space="preserve">отгруженной </w:t>
      </w:r>
      <w:r w:rsidR="006F6BDD" w:rsidRPr="006F6BDD">
        <w:rPr>
          <w:sz w:val="24"/>
          <w:szCs w:val="24"/>
        </w:rPr>
        <w:t>промышленн</w:t>
      </w:r>
      <w:r w:rsidR="008B3795">
        <w:rPr>
          <w:sz w:val="24"/>
          <w:szCs w:val="24"/>
        </w:rPr>
        <w:t>ой</w:t>
      </w:r>
      <w:r w:rsidR="006F6BDD" w:rsidRPr="006F6BDD">
        <w:rPr>
          <w:sz w:val="24"/>
          <w:szCs w:val="24"/>
        </w:rPr>
        <w:t xml:space="preserve"> </w:t>
      </w:r>
      <w:r w:rsidR="006F6BDD" w:rsidRPr="008B3795">
        <w:rPr>
          <w:sz w:val="24"/>
          <w:szCs w:val="24"/>
        </w:rPr>
        <w:t>про</w:t>
      </w:r>
      <w:r w:rsidR="008B3795" w:rsidRPr="008B3795">
        <w:rPr>
          <w:sz w:val="24"/>
          <w:szCs w:val="24"/>
        </w:rPr>
        <w:t>дукции</w:t>
      </w:r>
      <w:r w:rsidR="006F6BDD" w:rsidRPr="008B3795">
        <w:rPr>
          <w:sz w:val="24"/>
          <w:szCs w:val="24"/>
        </w:rPr>
        <w:t xml:space="preserve">, </w:t>
      </w:r>
      <w:r w:rsidR="008B3795" w:rsidRPr="008B3795">
        <w:rPr>
          <w:sz w:val="24"/>
          <w:szCs w:val="24"/>
        </w:rPr>
        <w:t>но более умеренными темпами, чем в 2018 году</w:t>
      </w:r>
      <w:r w:rsidR="006F6BDD" w:rsidRPr="008B3795">
        <w:rPr>
          <w:sz w:val="24"/>
          <w:szCs w:val="24"/>
        </w:rPr>
        <w:t xml:space="preserve">. Отмечается рост </w:t>
      </w:r>
      <w:r w:rsidRPr="00443D9E">
        <w:rPr>
          <w:sz w:val="24"/>
          <w:szCs w:val="24"/>
        </w:rPr>
        <w:t>прибыли прибыльных предприятий</w:t>
      </w:r>
      <w:r>
        <w:rPr>
          <w:sz w:val="24"/>
          <w:szCs w:val="24"/>
        </w:rPr>
        <w:t>,</w:t>
      </w:r>
      <w:r w:rsidRPr="00443D9E">
        <w:rPr>
          <w:sz w:val="24"/>
          <w:szCs w:val="24"/>
        </w:rPr>
        <w:t xml:space="preserve"> </w:t>
      </w:r>
      <w:r w:rsidR="006F6BDD" w:rsidRPr="008B3795">
        <w:rPr>
          <w:sz w:val="24"/>
          <w:szCs w:val="24"/>
        </w:rPr>
        <w:t xml:space="preserve">показателей грузооборота </w:t>
      </w:r>
      <w:r w:rsidR="008B3795" w:rsidRPr="009C47C5">
        <w:rPr>
          <w:sz w:val="24"/>
          <w:szCs w:val="24"/>
        </w:rPr>
        <w:t xml:space="preserve">и </w:t>
      </w:r>
      <w:r w:rsidR="006F6BDD" w:rsidRPr="009C47C5">
        <w:rPr>
          <w:sz w:val="24"/>
          <w:szCs w:val="24"/>
        </w:rPr>
        <w:t>пассажирооборота</w:t>
      </w:r>
      <w:r w:rsidR="006F6BDD" w:rsidRPr="008B3795">
        <w:rPr>
          <w:sz w:val="24"/>
          <w:szCs w:val="24"/>
        </w:rPr>
        <w:t xml:space="preserve">. Сохраняется стабильная ситуация на рынке труда </w:t>
      </w:r>
      <w:r w:rsidR="00045EE6">
        <w:rPr>
          <w:sz w:val="24"/>
          <w:szCs w:val="24"/>
        </w:rPr>
        <w:t>городского округа Тольятти</w:t>
      </w:r>
      <w:r w:rsidR="006F6BDD" w:rsidRPr="008B3795">
        <w:rPr>
          <w:sz w:val="24"/>
          <w:szCs w:val="24"/>
        </w:rPr>
        <w:t>. Растет реальная заработная плата</w:t>
      </w:r>
      <w:r>
        <w:rPr>
          <w:sz w:val="24"/>
          <w:szCs w:val="24"/>
        </w:rPr>
        <w:t xml:space="preserve"> и</w:t>
      </w:r>
      <w:r w:rsidR="006F6BDD" w:rsidRPr="008B3795">
        <w:rPr>
          <w:sz w:val="24"/>
          <w:szCs w:val="24"/>
        </w:rPr>
        <w:t xml:space="preserve"> потребительская активность населения. </w:t>
      </w:r>
      <w:r w:rsidR="007A6506">
        <w:rPr>
          <w:sz w:val="24"/>
          <w:szCs w:val="24"/>
        </w:rPr>
        <w:t>При этом</w:t>
      </w:r>
      <w:r w:rsidRPr="00443D9E">
        <w:rPr>
          <w:sz w:val="24"/>
          <w:szCs w:val="24"/>
        </w:rPr>
        <w:t xml:space="preserve"> продолжено снижение численности постоянного населения города, в том числе трудоспособного.</w:t>
      </w:r>
    </w:p>
    <w:p w:rsidR="006B3224" w:rsidRPr="001D3079" w:rsidRDefault="00526B71" w:rsidP="00C96C23">
      <w:pPr>
        <w:spacing w:line="276" w:lineRule="auto"/>
        <w:ind w:firstLine="709"/>
        <w:jc w:val="both"/>
        <w:rPr>
          <w:sz w:val="24"/>
          <w:szCs w:val="24"/>
        </w:rPr>
      </w:pPr>
      <w:r w:rsidRPr="001D3079">
        <w:rPr>
          <w:sz w:val="24"/>
          <w:szCs w:val="24"/>
        </w:rPr>
        <w:t>В</w:t>
      </w:r>
      <w:r w:rsidR="006B3224" w:rsidRPr="001D3079">
        <w:rPr>
          <w:sz w:val="24"/>
          <w:szCs w:val="24"/>
        </w:rPr>
        <w:t xml:space="preserve"> рейтинге городских округов Самарской области, </w:t>
      </w:r>
      <w:r w:rsidR="003D30D1">
        <w:rPr>
          <w:sz w:val="24"/>
          <w:szCs w:val="24"/>
        </w:rPr>
        <w:t>опубликованном</w:t>
      </w:r>
      <w:r w:rsidR="006B3224" w:rsidRPr="001D3079">
        <w:rPr>
          <w:sz w:val="24"/>
          <w:szCs w:val="24"/>
        </w:rPr>
        <w:t xml:space="preserve"> </w:t>
      </w:r>
      <w:r w:rsidR="00980D2D" w:rsidRPr="001D3079">
        <w:rPr>
          <w:sz w:val="24"/>
          <w:szCs w:val="24"/>
        </w:rPr>
        <w:t>М</w:t>
      </w:r>
      <w:r w:rsidR="006B3224" w:rsidRPr="001D3079">
        <w:rPr>
          <w:sz w:val="24"/>
          <w:szCs w:val="24"/>
        </w:rPr>
        <w:t>инистерством экономического развития</w:t>
      </w:r>
      <w:r w:rsidR="005A311B" w:rsidRPr="001D3079">
        <w:rPr>
          <w:sz w:val="24"/>
          <w:szCs w:val="24"/>
        </w:rPr>
        <w:t xml:space="preserve"> и</w:t>
      </w:r>
      <w:r w:rsidR="006B3224" w:rsidRPr="001D3079">
        <w:rPr>
          <w:sz w:val="24"/>
          <w:szCs w:val="24"/>
        </w:rPr>
        <w:t xml:space="preserve"> инвестиций Самарской области</w:t>
      </w:r>
      <w:r w:rsidR="003D30D1">
        <w:rPr>
          <w:rStyle w:val="affb"/>
          <w:sz w:val="24"/>
          <w:szCs w:val="24"/>
        </w:rPr>
        <w:footnoteReference w:id="1"/>
      </w:r>
      <w:r w:rsidR="006B3224" w:rsidRPr="001D3079">
        <w:rPr>
          <w:sz w:val="24"/>
          <w:szCs w:val="24"/>
        </w:rPr>
        <w:t xml:space="preserve">, </w:t>
      </w:r>
      <w:r w:rsidR="004168B6" w:rsidRPr="001D3079">
        <w:rPr>
          <w:sz w:val="24"/>
          <w:szCs w:val="24"/>
        </w:rPr>
        <w:t xml:space="preserve">по </w:t>
      </w:r>
      <w:r w:rsidR="00AA65D6" w:rsidRPr="001D3079">
        <w:rPr>
          <w:sz w:val="24"/>
          <w:szCs w:val="24"/>
        </w:rPr>
        <w:t xml:space="preserve">основным социально-экономическим показателям </w:t>
      </w:r>
      <w:r w:rsidR="00EA2B1A" w:rsidRPr="001D3079">
        <w:rPr>
          <w:sz w:val="24"/>
          <w:szCs w:val="24"/>
        </w:rPr>
        <w:t>по итогам</w:t>
      </w:r>
      <w:r w:rsidR="00AA65D6" w:rsidRPr="001D3079">
        <w:rPr>
          <w:sz w:val="24"/>
          <w:szCs w:val="24"/>
        </w:rPr>
        <w:t xml:space="preserve"> 1 полугоди</w:t>
      </w:r>
      <w:r w:rsidR="00EA2B1A" w:rsidRPr="001D3079">
        <w:rPr>
          <w:sz w:val="24"/>
          <w:szCs w:val="24"/>
        </w:rPr>
        <w:t>я</w:t>
      </w:r>
      <w:r w:rsidR="00AA65D6" w:rsidRPr="001D3079">
        <w:rPr>
          <w:sz w:val="24"/>
          <w:szCs w:val="24"/>
        </w:rPr>
        <w:t xml:space="preserve"> 201</w:t>
      </w:r>
      <w:r w:rsidR="0060322D">
        <w:rPr>
          <w:sz w:val="24"/>
          <w:szCs w:val="24"/>
        </w:rPr>
        <w:t>9</w:t>
      </w:r>
      <w:r w:rsidR="0049099D" w:rsidRPr="001D3079">
        <w:rPr>
          <w:sz w:val="24"/>
          <w:szCs w:val="24"/>
        </w:rPr>
        <w:t xml:space="preserve"> года городской округ Тольятти </w:t>
      </w:r>
      <w:r w:rsidR="004168B6" w:rsidRPr="001D3079">
        <w:rPr>
          <w:sz w:val="24"/>
          <w:szCs w:val="24"/>
        </w:rPr>
        <w:t xml:space="preserve">занял </w:t>
      </w:r>
      <w:r w:rsidR="001D3079">
        <w:rPr>
          <w:sz w:val="24"/>
          <w:szCs w:val="24"/>
        </w:rPr>
        <w:t>четвертое</w:t>
      </w:r>
      <w:r w:rsidR="008512B1" w:rsidRPr="001D3079">
        <w:rPr>
          <w:sz w:val="24"/>
          <w:szCs w:val="24"/>
        </w:rPr>
        <w:t xml:space="preserve"> место</w:t>
      </w:r>
      <w:r w:rsidR="001D3079">
        <w:rPr>
          <w:sz w:val="24"/>
          <w:szCs w:val="24"/>
        </w:rPr>
        <w:t xml:space="preserve"> из десяти, снизившись на 2 позиции</w:t>
      </w:r>
      <w:r w:rsidR="0049099D" w:rsidRPr="001D3079">
        <w:rPr>
          <w:sz w:val="24"/>
          <w:szCs w:val="24"/>
        </w:rPr>
        <w:t xml:space="preserve"> </w:t>
      </w:r>
      <w:r w:rsidR="009D231A" w:rsidRPr="001D3079">
        <w:rPr>
          <w:sz w:val="24"/>
          <w:szCs w:val="24"/>
        </w:rPr>
        <w:t xml:space="preserve">по сравнению с </w:t>
      </w:r>
      <w:r w:rsidR="001D3079">
        <w:rPr>
          <w:sz w:val="24"/>
          <w:szCs w:val="24"/>
        </w:rPr>
        <w:t xml:space="preserve">соответствующим периодом </w:t>
      </w:r>
      <w:r w:rsidR="009D231A" w:rsidRPr="001D3079">
        <w:rPr>
          <w:sz w:val="24"/>
          <w:szCs w:val="24"/>
        </w:rPr>
        <w:t>прошл</w:t>
      </w:r>
      <w:r w:rsidR="001D3079">
        <w:rPr>
          <w:sz w:val="24"/>
          <w:szCs w:val="24"/>
        </w:rPr>
        <w:t>ого года (подробная информация по каждому из 8 показателей рейтинга содержится в соответствующих разделах)</w:t>
      </w:r>
      <w:r w:rsidR="0049099D" w:rsidRPr="001D3079">
        <w:rPr>
          <w:sz w:val="24"/>
          <w:szCs w:val="24"/>
        </w:rPr>
        <w:t>.</w:t>
      </w:r>
      <w:r w:rsidR="006B3224" w:rsidRPr="001D3079">
        <w:rPr>
          <w:sz w:val="24"/>
          <w:szCs w:val="24"/>
        </w:rPr>
        <w:t xml:space="preserve"> </w:t>
      </w:r>
    </w:p>
    <w:p w:rsidR="0004675F" w:rsidRPr="001D3079" w:rsidRDefault="00A50BA4" w:rsidP="00C96C23">
      <w:pPr>
        <w:pStyle w:val="1f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79">
        <w:rPr>
          <w:rFonts w:ascii="Times New Roman" w:hAnsi="Times New Roman" w:cs="Times New Roman"/>
          <w:bCs/>
          <w:sz w:val="24"/>
          <w:szCs w:val="24"/>
        </w:rPr>
        <w:t xml:space="preserve">Основные показатели социально-экономического развития </w:t>
      </w:r>
      <w:r w:rsidRPr="001D3079">
        <w:rPr>
          <w:rFonts w:ascii="Times New Roman" w:hAnsi="Times New Roman" w:cs="Times New Roman"/>
          <w:sz w:val="24"/>
          <w:szCs w:val="24"/>
        </w:rPr>
        <w:t>экономики городского округа Тольятти представлены в следующей таблице: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1134"/>
        <w:gridCol w:w="993"/>
        <w:gridCol w:w="992"/>
        <w:gridCol w:w="1134"/>
      </w:tblGrid>
      <w:tr w:rsidR="00A50BA4" w:rsidRPr="005319C7" w:rsidTr="00AB670F">
        <w:trPr>
          <w:tblHeader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BF4E15" w:rsidRDefault="00A50BA4" w:rsidP="00443EE9">
            <w:pPr>
              <w:snapToGrid w:val="0"/>
              <w:spacing w:line="276" w:lineRule="auto"/>
              <w:ind w:firstLine="709"/>
              <w:jc w:val="both"/>
              <w:rPr>
                <w:sz w:val="24"/>
                <w:szCs w:val="24"/>
                <w:shd w:val="clear" w:color="auto" w:fill="FFFF00"/>
              </w:rPr>
            </w:pPr>
          </w:p>
          <w:p w:rsidR="00A50BA4" w:rsidRPr="00BF4E15" w:rsidRDefault="0090607E" w:rsidP="0090607E">
            <w:pPr>
              <w:snapToGrid w:val="0"/>
              <w:spacing w:line="276" w:lineRule="auto"/>
              <w:jc w:val="center"/>
              <w:rPr>
                <w:sz w:val="24"/>
                <w:szCs w:val="24"/>
                <w:shd w:val="clear" w:color="auto" w:fill="FFFF00"/>
              </w:rPr>
            </w:pPr>
            <w:r w:rsidRPr="00BF4E1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70F" w:rsidRDefault="00A50BA4" w:rsidP="00443EE9">
            <w:pPr>
              <w:jc w:val="center"/>
              <w:rPr>
                <w:sz w:val="24"/>
                <w:szCs w:val="24"/>
              </w:rPr>
            </w:pPr>
            <w:r w:rsidRPr="00BF4E15">
              <w:rPr>
                <w:sz w:val="24"/>
                <w:szCs w:val="24"/>
              </w:rPr>
              <w:t>Ед</w:t>
            </w:r>
            <w:r w:rsidR="005D4E71" w:rsidRPr="00BF4E15">
              <w:rPr>
                <w:sz w:val="24"/>
                <w:szCs w:val="24"/>
              </w:rPr>
              <w:t>иница</w:t>
            </w:r>
            <w:r w:rsidRPr="00BF4E15">
              <w:rPr>
                <w:sz w:val="24"/>
                <w:szCs w:val="24"/>
              </w:rPr>
              <w:t xml:space="preserve"> измере</w:t>
            </w:r>
          </w:p>
          <w:p w:rsidR="00A50BA4" w:rsidRPr="00BF4E15" w:rsidRDefault="00A50BA4" w:rsidP="00443EE9">
            <w:pPr>
              <w:jc w:val="center"/>
              <w:rPr>
                <w:sz w:val="24"/>
                <w:szCs w:val="24"/>
              </w:rPr>
            </w:pPr>
            <w:r w:rsidRPr="00BF4E15">
              <w:rPr>
                <w:sz w:val="24"/>
                <w:szCs w:val="24"/>
              </w:rPr>
              <w:t>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BF4E15" w:rsidRDefault="001B56FC" w:rsidP="00443EE9">
            <w:pPr>
              <w:jc w:val="center"/>
              <w:rPr>
                <w:sz w:val="24"/>
                <w:szCs w:val="24"/>
              </w:rPr>
            </w:pPr>
            <w:r w:rsidRPr="00BF4E15">
              <w:rPr>
                <w:sz w:val="24"/>
                <w:szCs w:val="24"/>
              </w:rPr>
              <w:t>2018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BF4E15" w:rsidRDefault="00A50BA4" w:rsidP="001B56FC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BF4E15">
              <w:rPr>
                <w:sz w:val="24"/>
                <w:szCs w:val="24"/>
              </w:rPr>
              <w:t>201</w:t>
            </w:r>
            <w:r w:rsidR="001B56FC" w:rsidRPr="00BF4E15">
              <w:rPr>
                <w:sz w:val="24"/>
                <w:szCs w:val="24"/>
              </w:rPr>
              <w:t>9</w:t>
            </w:r>
            <w:r w:rsidR="0090607E" w:rsidRPr="00BF4E15">
              <w:rPr>
                <w:sz w:val="24"/>
                <w:szCs w:val="24"/>
              </w:rPr>
              <w:t xml:space="preserve"> г.</w:t>
            </w:r>
          </w:p>
        </w:tc>
      </w:tr>
      <w:tr w:rsidR="00A50BA4" w:rsidRPr="005319C7" w:rsidTr="00AB670F">
        <w:trPr>
          <w:tblHeader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BF4E15" w:rsidRDefault="00A50BA4" w:rsidP="00443EE9">
            <w:pPr>
              <w:snapToGrid w:val="0"/>
              <w:spacing w:line="276" w:lineRule="auto"/>
              <w:ind w:firstLine="709"/>
              <w:jc w:val="both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BA4" w:rsidRPr="00BF4E15" w:rsidRDefault="00A50BA4" w:rsidP="00443EE9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BF4E15" w:rsidRDefault="00A50BA4" w:rsidP="00443EE9">
            <w:pPr>
              <w:jc w:val="center"/>
              <w:rPr>
                <w:sz w:val="24"/>
                <w:szCs w:val="24"/>
              </w:rPr>
            </w:pPr>
            <w:r w:rsidRPr="00BF4E15">
              <w:rPr>
                <w:sz w:val="24"/>
                <w:szCs w:val="24"/>
              </w:rPr>
              <w:t>январь-июнь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BF4E15" w:rsidRDefault="00A50BA4" w:rsidP="00443EE9">
            <w:pPr>
              <w:jc w:val="center"/>
              <w:rPr>
                <w:sz w:val="24"/>
                <w:szCs w:val="24"/>
              </w:rPr>
            </w:pPr>
            <w:r w:rsidRPr="00BF4E15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BF4E15" w:rsidRDefault="00A50BA4" w:rsidP="00443EE9">
            <w:pPr>
              <w:jc w:val="center"/>
              <w:rPr>
                <w:sz w:val="24"/>
                <w:szCs w:val="24"/>
              </w:rPr>
            </w:pPr>
            <w:r w:rsidRPr="00BF4E15">
              <w:rPr>
                <w:sz w:val="24"/>
                <w:szCs w:val="24"/>
              </w:rPr>
              <w:t>январь-июнь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BF4E15" w:rsidRDefault="00A50BA4" w:rsidP="00443EE9">
            <w:pPr>
              <w:jc w:val="center"/>
              <w:rPr>
                <w:sz w:val="24"/>
                <w:szCs w:val="24"/>
              </w:rPr>
            </w:pPr>
            <w:r w:rsidRPr="00BF4E15">
              <w:rPr>
                <w:sz w:val="24"/>
                <w:szCs w:val="24"/>
              </w:rPr>
              <w:t>год</w:t>
            </w:r>
          </w:p>
          <w:p w:rsidR="00A50BA4" w:rsidRPr="00BF4E15" w:rsidRDefault="00A50BA4" w:rsidP="00443EE9">
            <w:pPr>
              <w:jc w:val="center"/>
              <w:rPr>
                <w:sz w:val="24"/>
                <w:szCs w:val="24"/>
              </w:rPr>
            </w:pPr>
            <w:r w:rsidRPr="00BF4E15">
              <w:rPr>
                <w:sz w:val="24"/>
                <w:szCs w:val="24"/>
              </w:rPr>
              <w:t>(оценка)</w:t>
            </w:r>
          </w:p>
        </w:tc>
      </w:tr>
      <w:tr w:rsidR="00A50BA4" w:rsidRPr="005319C7" w:rsidTr="00AB670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BF4E15" w:rsidRDefault="00A50BA4" w:rsidP="00443EE9">
            <w:pPr>
              <w:snapToGrid w:val="0"/>
              <w:rPr>
                <w:sz w:val="24"/>
                <w:szCs w:val="24"/>
              </w:rPr>
            </w:pPr>
            <w:r w:rsidRPr="00BF4E15">
              <w:rPr>
                <w:sz w:val="24"/>
                <w:szCs w:val="24"/>
              </w:rPr>
              <w:t xml:space="preserve">Объем отгруженной промышленной продукции собственного производства (по разделам </w:t>
            </w:r>
            <w:r w:rsidR="00E55EDC" w:rsidRPr="00BF4E15">
              <w:rPr>
                <w:sz w:val="24"/>
                <w:szCs w:val="24"/>
                <w:lang w:val="en-US"/>
              </w:rPr>
              <w:t>C</w:t>
            </w:r>
            <w:r w:rsidR="00E55EDC" w:rsidRPr="00BF4E15">
              <w:rPr>
                <w:sz w:val="24"/>
                <w:szCs w:val="24"/>
              </w:rPr>
              <w:t>,</w:t>
            </w:r>
            <w:r w:rsidR="00ED63FC">
              <w:rPr>
                <w:sz w:val="24"/>
                <w:szCs w:val="24"/>
              </w:rPr>
              <w:t xml:space="preserve"> </w:t>
            </w:r>
            <w:r w:rsidRPr="00BF4E15">
              <w:rPr>
                <w:sz w:val="24"/>
                <w:szCs w:val="24"/>
              </w:rPr>
              <w:t>D,</w:t>
            </w:r>
            <w:r w:rsidR="00ED63FC">
              <w:rPr>
                <w:sz w:val="24"/>
                <w:szCs w:val="24"/>
              </w:rPr>
              <w:t xml:space="preserve"> </w:t>
            </w:r>
            <w:r w:rsidRPr="00BF4E15">
              <w:rPr>
                <w:sz w:val="24"/>
                <w:szCs w:val="24"/>
              </w:rPr>
              <w:t>E)</w:t>
            </w:r>
            <w:r w:rsidR="00700331" w:rsidRPr="00BF4E15">
              <w:rPr>
                <w:sz w:val="24"/>
                <w:szCs w:val="24"/>
                <w:vertAlign w:val="superscript"/>
              </w:rPr>
              <w:t>1</w:t>
            </w:r>
            <w:r w:rsidRPr="00BF4E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BF4E15" w:rsidRDefault="00B66BBC" w:rsidP="00443EE9">
            <w:pPr>
              <w:jc w:val="center"/>
              <w:rPr>
                <w:sz w:val="24"/>
                <w:szCs w:val="24"/>
              </w:rPr>
            </w:pPr>
            <w:r w:rsidRPr="00BF4E15">
              <w:rPr>
                <w:sz w:val="24"/>
                <w:szCs w:val="24"/>
              </w:rPr>
              <w:t>млрд.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BF4E15" w:rsidRDefault="00BF4E15" w:rsidP="00443EE9">
            <w:pPr>
              <w:jc w:val="center"/>
              <w:rPr>
                <w:sz w:val="24"/>
                <w:szCs w:val="24"/>
              </w:rPr>
            </w:pPr>
            <w:r w:rsidRPr="00BF4E15">
              <w:rPr>
                <w:sz w:val="24"/>
                <w:szCs w:val="24"/>
              </w:rPr>
              <w:t>261,0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BA4" w:rsidRPr="00BF4E15" w:rsidRDefault="00BF4E15" w:rsidP="00443EE9">
            <w:pPr>
              <w:jc w:val="center"/>
              <w:rPr>
                <w:sz w:val="24"/>
                <w:szCs w:val="24"/>
              </w:rPr>
            </w:pPr>
            <w:r w:rsidRPr="00BF4E15">
              <w:rPr>
                <w:sz w:val="24"/>
                <w:szCs w:val="24"/>
              </w:rPr>
              <w:t>539,3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BF4E15" w:rsidRDefault="00BF4E15" w:rsidP="00443E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BF4E15" w:rsidRDefault="00BF4E15" w:rsidP="00443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573,4</w:t>
            </w:r>
          </w:p>
        </w:tc>
      </w:tr>
      <w:tr w:rsidR="00A50BA4" w:rsidRPr="005319C7" w:rsidTr="00AB670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0BA4" w:rsidRPr="001D3079" w:rsidRDefault="00A50BA4" w:rsidP="00443EE9">
            <w:pPr>
              <w:rPr>
                <w:sz w:val="24"/>
                <w:szCs w:val="24"/>
              </w:rPr>
            </w:pPr>
            <w:r w:rsidRPr="001D3079">
              <w:rPr>
                <w:sz w:val="24"/>
                <w:szCs w:val="24"/>
              </w:rPr>
              <w:t>Индекс промышленного производства</w:t>
            </w:r>
            <w:r w:rsidR="00700331" w:rsidRPr="001D307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1D3079" w:rsidRDefault="00A50BA4" w:rsidP="00443EE9">
            <w:pPr>
              <w:jc w:val="center"/>
              <w:rPr>
                <w:sz w:val="24"/>
                <w:szCs w:val="24"/>
              </w:rPr>
            </w:pPr>
            <w:r w:rsidRPr="001D307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1D3079" w:rsidRDefault="001D3079" w:rsidP="00443EE9">
            <w:pPr>
              <w:jc w:val="center"/>
              <w:rPr>
                <w:sz w:val="24"/>
                <w:szCs w:val="24"/>
              </w:rPr>
            </w:pPr>
            <w:r w:rsidRPr="001D3079">
              <w:rPr>
                <w:sz w:val="24"/>
                <w:szCs w:val="24"/>
              </w:rPr>
              <w:t>108,2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1D3079" w:rsidRDefault="009E4C34" w:rsidP="001D3079">
            <w:pPr>
              <w:jc w:val="center"/>
              <w:rPr>
                <w:sz w:val="24"/>
                <w:szCs w:val="24"/>
              </w:rPr>
            </w:pPr>
            <w:r w:rsidRPr="001D3079">
              <w:rPr>
                <w:sz w:val="24"/>
                <w:szCs w:val="24"/>
              </w:rPr>
              <w:t>107,</w:t>
            </w:r>
            <w:r w:rsidR="001D3079" w:rsidRPr="001D307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0BA4" w:rsidRPr="001D3079" w:rsidRDefault="001D3079" w:rsidP="00443EE9">
            <w:pPr>
              <w:jc w:val="center"/>
              <w:rPr>
                <w:sz w:val="24"/>
                <w:szCs w:val="24"/>
              </w:rPr>
            </w:pPr>
            <w:r w:rsidRPr="001D3079">
              <w:rPr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BA4" w:rsidRPr="001D3079" w:rsidRDefault="001D3079" w:rsidP="00443EE9">
            <w:pPr>
              <w:jc w:val="center"/>
              <w:rPr>
                <w:sz w:val="24"/>
                <w:szCs w:val="24"/>
              </w:rPr>
            </w:pPr>
            <w:r w:rsidRPr="001D3079">
              <w:rPr>
                <w:sz w:val="24"/>
                <w:szCs w:val="24"/>
              </w:rPr>
              <w:t>101,1</w:t>
            </w:r>
          </w:p>
        </w:tc>
      </w:tr>
      <w:tr w:rsidR="00207688" w:rsidRPr="005319C7" w:rsidTr="00AB670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88" w:rsidRPr="00207688" w:rsidRDefault="00207688" w:rsidP="00207688">
            <w:pPr>
              <w:rPr>
                <w:sz w:val="24"/>
                <w:szCs w:val="24"/>
              </w:rPr>
            </w:pPr>
            <w:r w:rsidRPr="00207688">
              <w:rPr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88" w:rsidRPr="00207688" w:rsidRDefault="00207688" w:rsidP="00207688">
            <w:pPr>
              <w:jc w:val="center"/>
              <w:rPr>
                <w:sz w:val="24"/>
                <w:szCs w:val="24"/>
              </w:rPr>
            </w:pPr>
            <w:r w:rsidRPr="00207688">
              <w:rPr>
                <w:sz w:val="24"/>
                <w:szCs w:val="24"/>
              </w:rPr>
              <w:t>млрд.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88" w:rsidRPr="00AF22B0" w:rsidRDefault="001D3079" w:rsidP="00207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  <w:r w:rsidR="00207688" w:rsidRPr="00AF22B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88" w:rsidRPr="00AF22B0" w:rsidRDefault="00207688" w:rsidP="0078642D">
            <w:pPr>
              <w:jc w:val="center"/>
              <w:rPr>
                <w:sz w:val="24"/>
                <w:szCs w:val="24"/>
              </w:rPr>
            </w:pPr>
            <w:r w:rsidRPr="00AF22B0">
              <w:rPr>
                <w:sz w:val="24"/>
                <w:szCs w:val="24"/>
              </w:rPr>
              <w:t>28,</w:t>
            </w:r>
            <w:r w:rsidR="0078642D">
              <w:rPr>
                <w:sz w:val="24"/>
                <w:szCs w:val="24"/>
              </w:rPr>
              <w:t>4</w:t>
            </w:r>
            <w:r w:rsidR="0078642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88" w:rsidRPr="00AF22B0" w:rsidRDefault="00207688" w:rsidP="001D3079">
            <w:pPr>
              <w:jc w:val="center"/>
              <w:rPr>
                <w:sz w:val="24"/>
                <w:szCs w:val="24"/>
              </w:rPr>
            </w:pPr>
            <w:r w:rsidRPr="00AF22B0">
              <w:rPr>
                <w:sz w:val="24"/>
                <w:szCs w:val="24"/>
              </w:rPr>
              <w:t>9,9</w:t>
            </w:r>
            <w:r w:rsidR="001D3079" w:rsidRPr="001D307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88" w:rsidRPr="006F1CC5" w:rsidRDefault="00207688" w:rsidP="00207688">
            <w:pPr>
              <w:jc w:val="center"/>
              <w:rPr>
                <w:sz w:val="24"/>
                <w:szCs w:val="24"/>
                <w:highlight w:val="green"/>
              </w:rPr>
            </w:pPr>
            <w:r w:rsidRPr="0088739E">
              <w:rPr>
                <w:sz w:val="24"/>
                <w:szCs w:val="24"/>
              </w:rPr>
              <w:t>31,2</w:t>
            </w:r>
            <w:r w:rsidR="001D3079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07688" w:rsidRPr="005319C7" w:rsidTr="00AB670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88" w:rsidRPr="008C5D64" w:rsidRDefault="00207688" w:rsidP="00207688">
            <w:pPr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Прибыль прибыльных организаций до налогообложения</w:t>
            </w:r>
            <w:r w:rsidRPr="008C5D64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88" w:rsidRPr="008C5D64" w:rsidRDefault="00207688" w:rsidP="00207688">
            <w:pPr>
              <w:jc w:val="center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млрд.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88" w:rsidRPr="008C5D64" w:rsidRDefault="008C5D64" w:rsidP="00207688">
            <w:pPr>
              <w:jc w:val="center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88" w:rsidRPr="008C5D64" w:rsidRDefault="008C5D64" w:rsidP="00207688">
            <w:pPr>
              <w:jc w:val="center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88" w:rsidRPr="008C5D64" w:rsidRDefault="008C5D64" w:rsidP="00207688">
            <w:pPr>
              <w:jc w:val="center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88" w:rsidRPr="008C5D64" w:rsidRDefault="008C5D64" w:rsidP="00207688">
            <w:pPr>
              <w:jc w:val="center"/>
              <w:rPr>
                <w:sz w:val="24"/>
                <w:szCs w:val="24"/>
              </w:rPr>
            </w:pPr>
            <w:r w:rsidRPr="008C5D64">
              <w:rPr>
                <w:sz w:val="24"/>
                <w:szCs w:val="24"/>
              </w:rPr>
              <w:t>33,7</w:t>
            </w:r>
          </w:p>
        </w:tc>
      </w:tr>
      <w:tr w:rsidR="00207688" w:rsidRPr="005319C7" w:rsidTr="00AB670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88" w:rsidRPr="001B56FC" w:rsidRDefault="00207688" w:rsidP="00207688">
            <w:pPr>
              <w:rPr>
                <w:sz w:val="24"/>
                <w:szCs w:val="24"/>
              </w:rPr>
            </w:pPr>
            <w:r w:rsidRPr="001B56FC">
              <w:rPr>
                <w:sz w:val="24"/>
                <w:szCs w:val="24"/>
              </w:rPr>
              <w:t>Ввод в действие жилых домов (квартир)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88" w:rsidRPr="001B56FC" w:rsidRDefault="00AB670F" w:rsidP="00AB6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207688" w:rsidRPr="001B56FC">
              <w:rPr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88" w:rsidRPr="001B56FC" w:rsidRDefault="00207688" w:rsidP="00207688">
            <w:pPr>
              <w:jc w:val="center"/>
              <w:rPr>
                <w:sz w:val="24"/>
                <w:szCs w:val="24"/>
              </w:rPr>
            </w:pPr>
            <w:r w:rsidRPr="002B3D0F">
              <w:rPr>
                <w:sz w:val="24"/>
                <w:szCs w:val="24"/>
              </w:rPr>
              <w:t>25,2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88" w:rsidRPr="001B56FC" w:rsidRDefault="00207688" w:rsidP="00207688">
            <w:pPr>
              <w:jc w:val="center"/>
              <w:rPr>
                <w:sz w:val="24"/>
                <w:szCs w:val="24"/>
              </w:rPr>
            </w:pPr>
            <w:r w:rsidRPr="001B56FC">
              <w:rPr>
                <w:sz w:val="24"/>
                <w:szCs w:val="24"/>
              </w:rPr>
              <w:t>153,6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88" w:rsidRPr="001B56FC" w:rsidRDefault="00207688" w:rsidP="00207688">
            <w:pPr>
              <w:jc w:val="center"/>
              <w:rPr>
                <w:sz w:val="24"/>
                <w:szCs w:val="24"/>
              </w:rPr>
            </w:pPr>
            <w:r w:rsidRPr="00D0645A">
              <w:rPr>
                <w:sz w:val="24"/>
                <w:szCs w:val="24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688" w:rsidRPr="001B56FC" w:rsidRDefault="00207688" w:rsidP="00207688">
            <w:pPr>
              <w:jc w:val="center"/>
              <w:rPr>
                <w:sz w:val="24"/>
                <w:szCs w:val="24"/>
              </w:rPr>
            </w:pPr>
            <w:r w:rsidRPr="001B56FC">
              <w:rPr>
                <w:sz w:val="24"/>
                <w:szCs w:val="24"/>
              </w:rPr>
              <w:t>133,0</w:t>
            </w:r>
          </w:p>
        </w:tc>
      </w:tr>
      <w:tr w:rsidR="00207688" w:rsidRPr="005319C7" w:rsidTr="00AB670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88" w:rsidRPr="002E2E87" w:rsidRDefault="00207688" w:rsidP="00207688">
            <w:pPr>
              <w:rPr>
                <w:sz w:val="24"/>
                <w:szCs w:val="24"/>
              </w:rPr>
            </w:pPr>
            <w:r w:rsidRPr="002E2E87">
              <w:rPr>
                <w:sz w:val="24"/>
                <w:szCs w:val="24"/>
              </w:rPr>
              <w:t>Уровень официальной безработицы относительно населения в трудоспособном возрасте (среднегодовой)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88" w:rsidRPr="002E2E87" w:rsidRDefault="00207688" w:rsidP="00207688">
            <w:pPr>
              <w:jc w:val="center"/>
              <w:rPr>
                <w:sz w:val="24"/>
                <w:szCs w:val="24"/>
              </w:rPr>
            </w:pPr>
            <w:r w:rsidRPr="002E2E87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88" w:rsidRPr="002E2E87" w:rsidRDefault="00207688" w:rsidP="00207688">
            <w:pPr>
              <w:jc w:val="center"/>
              <w:rPr>
                <w:sz w:val="24"/>
                <w:szCs w:val="24"/>
              </w:rPr>
            </w:pPr>
            <w:r w:rsidRPr="002E2E87">
              <w:rPr>
                <w:sz w:val="24"/>
                <w:szCs w:val="24"/>
              </w:rPr>
              <w:t>1,12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88" w:rsidRPr="00B52AF1" w:rsidRDefault="00207688" w:rsidP="00207688">
            <w:pPr>
              <w:jc w:val="center"/>
              <w:rPr>
                <w:sz w:val="24"/>
                <w:szCs w:val="24"/>
              </w:rPr>
            </w:pPr>
            <w:r w:rsidRPr="00B52AF1">
              <w:rPr>
                <w:sz w:val="24"/>
                <w:szCs w:val="24"/>
              </w:rPr>
              <w:t>0,99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88" w:rsidRPr="00B52AF1" w:rsidRDefault="00207688" w:rsidP="00207688">
            <w:pPr>
              <w:jc w:val="center"/>
              <w:rPr>
                <w:sz w:val="24"/>
                <w:szCs w:val="24"/>
              </w:rPr>
            </w:pPr>
            <w:r w:rsidRPr="00B52AF1">
              <w:rPr>
                <w:sz w:val="24"/>
                <w:szCs w:val="24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88" w:rsidRPr="005319C7" w:rsidRDefault="00207688" w:rsidP="00207688">
            <w:pPr>
              <w:jc w:val="center"/>
              <w:rPr>
                <w:sz w:val="24"/>
                <w:szCs w:val="24"/>
                <w:highlight w:val="yellow"/>
              </w:rPr>
            </w:pPr>
            <w:r w:rsidRPr="00466830">
              <w:rPr>
                <w:sz w:val="24"/>
                <w:szCs w:val="24"/>
              </w:rPr>
              <w:t>0,95</w:t>
            </w:r>
          </w:p>
        </w:tc>
      </w:tr>
      <w:tr w:rsidR="00207688" w:rsidRPr="005319C7" w:rsidTr="00AB670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88" w:rsidRPr="002E2E87" w:rsidRDefault="00207688" w:rsidP="00207688">
            <w:pPr>
              <w:rPr>
                <w:sz w:val="24"/>
                <w:szCs w:val="24"/>
              </w:rPr>
            </w:pPr>
            <w:r w:rsidRPr="002E2E87">
              <w:rPr>
                <w:sz w:val="24"/>
                <w:szCs w:val="24"/>
              </w:rPr>
              <w:t>Среднемесячная номинальная начисленная заработная плата работников организаций</w:t>
            </w:r>
            <w:r w:rsidRPr="002E2E87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88" w:rsidRPr="002E2E87" w:rsidRDefault="00207688" w:rsidP="00207688">
            <w:pPr>
              <w:jc w:val="center"/>
              <w:rPr>
                <w:sz w:val="24"/>
                <w:szCs w:val="24"/>
              </w:rPr>
            </w:pPr>
            <w:r w:rsidRPr="002E2E87"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88" w:rsidRPr="002E2E87" w:rsidRDefault="00207688" w:rsidP="00207688">
            <w:pPr>
              <w:jc w:val="center"/>
              <w:rPr>
                <w:sz w:val="24"/>
                <w:szCs w:val="24"/>
              </w:rPr>
            </w:pPr>
            <w:r w:rsidRPr="002E2E87">
              <w:rPr>
                <w:sz w:val="24"/>
                <w:szCs w:val="24"/>
              </w:rPr>
              <w:t>36 305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88" w:rsidRPr="002E2E87" w:rsidRDefault="00207688" w:rsidP="00207688">
            <w:pPr>
              <w:jc w:val="center"/>
              <w:rPr>
                <w:sz w:val="24"/>
                <w:szCs w:val="24"/>
              </w:rPr>
            </w:pPr>
            <w:r w:rsidRPr="002E2E87">
              <w:rPr>
                <w:sz w:val="24"/>
                <w:szCs w:val="24"/>
              </w:rPr>
              <w:t>37 669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88" w:rsidRPr="002E2E87" w:rsidRDefault="00207688" w:rsidP="00207688">
            <w:pPr>
              <w:jc w:val="center"/>
              <w:rPr>
                <w:sz w:val="24"/>
                <w:szCs w:val="24"/>
              </w:rPr>
            </w:pPr>
            <w:r w:rsidRPr="002E2E87">
              <w:rPr>
                <w:sz w:val="24"/>
                <w:szCs w:val="24"/>
              </w:rPr>
              <w:t>38 724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88" w:rsidRPr="005319C7" w:rsidRDefault="00207688" w:rsidP="00207688">
            <w:pPr>
              <w:jc w:val="center"/>
              <w:rPr>
                <w:sz w:val="24"/>
                <w:szCs w:val="24"/>
                <w:highlight w:val="yellow"/>
              </w:rPr>
            </w:pPr>
            <w:r w:rsidRPr="002E2E87">
              <w:rPr>
                <w:sz w:val="24"/>
                <w:szCs w:val="24"/>
              </w:rPr>
              <w:t>40 100</w:t>
            </w:r>
          </w:p>
        </w:tc>
      </w:tr>
      <w:tr w:rsidR="00207688" w:rsidRPr="005319C7" w:rsidTr="00AB670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7688" w:rsidRPr="001B56FC" w:rsidRDefault="00207688" w:rsidP="00207688">
            <w:pPr>
              <w:rPr>
                <w:sz w:val="24"/>
                <w:szCs w:val="24"/>
              </w:rPr>
            </w:pPr>
            <w:r w:rsidRPr="001B56FC">
              <w:rPr>
                <w:sz w:val="24"/>
                <w:szCs w:val="24"/>
              </w:rPr>
              <w:t>Оборот розничной торговли</w:t>
            </w:r>
            <w:r w:rsidR="001D307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88" w:rsidRPr="001B56FC" w:rsidRDefault="00207688" w:rsidP="00207688">
            <w:pPr>
              <w:jc w:val="center"/>
              <w:rPr>
                <w:sz w:val="24"/>
                <w:szCs w:val="24"/>
              </w:rPr>
            </w:pPr>
            <w:r w:rsidRPr="001B56FC">
              <w:rPr>
                <w:sz w:val="24"/>
                <w:szCs w:val="24"/>
              </w:rPr>
              <w:t>млрд.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88" w:rsidRPr="001B56FC" w:rsidRDefault="00207688" w:rsidP="00207688">
            <w:pPr>
              <w:jc w:val="center"/>
              <w:rPr>
                <w:sz w:val="24"/>
                <w:szCs w:val="24"/>
              </w:rPr>
            </w:pPr>
            <w:r w:rsidRPr="001B56FC">
              <w:rPr>
                <w:sz w:val="24"/>
                <w:szCs w:val="24"/>
              </w:rPr>
              <w:t>85,1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88" w:rsidRPr="001B56FC" w:rsidRDefault="00207688" w:rsidP="00207688">
            <w:pPr>
              <w:jc w:val="center"/>
              <w:rPr>
                <w:sz w:val="24"/>
                <w:szCs w:val="24"/>
              </w:rPr>
            </w:pPr>
            <w:r w:rsidRPr="001B56FC">
              <w:rPr>
                <w:sz w:val="24"/>
                <w:szCs w:val="24"/>
              </w:rPr>
              <w:t>176,7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7688" w:rsidRPr="001B56FC" w:rsidRDefault="00207688" w:rsidP="00207688">
            <w:pPr>
              <w:jc w:val="center"/>
              <w:rPr>
                <w:sz w:val="24"/>
                <w:szCs w:val="24"/>
              </w:rPr>
            </w:pPr>
            <w:r w:rsidRPr="001B56FC">
              <w:rPr>
                <w:sz w:val="24"/>
                <w:szCs w:val="24"/>
              </w:rPr>
              <w:t>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688" w:rsidRPr="001B56FC" w:rsidRDefault="00207688" w:rsidP="00207688">
            <w:pPr>
              <w:jc w:val="center"/>
              <w:rPr>
                <w:sz w:val="24"/>
                <w:szCs w:val="24"/>
              </w:rPr>
            </w:pPr>
            <w:r w:rsidRPr="001B56FC">
              <w:rPr>
                <w:sz w:val="24"/>
                <w:szCs w:val="24"/>
              </w:rPr>
              <w:t>186,3</w:t>
            </w:r>
          </w:p>
        </w:tc>
      </w:tr>
    </w:tbl>
    <w:p w:rsidR="00700331" w:rsidRPr="00207688" w:rsidRDefault="00700331" w:rsidP="00C90084">
      <w:pPr>
        <w:pStyle w:val="afb"/>
        <w:widowControl w:val="0"/>
        <w:numPr>
          <w:ilvl w:val="0"/>
          <w:numId w:val="3"/>
        </w:numPr>
        <w:suppressAutoHyphens w:val="0"/>
        <w:spacing w:line="276" w:lineRule="auto"/>
        <w:ind w:left="0" w:firstLine="0"/>
        <w:jc w:val="both"/>
        <w:rPr>
          <w:sz w:val="20"/>
          <w:shd w:val="clear" w:color="auto" w:fill="FFFFFF"/>
        </w:rPr>
      </w:pPr>
      <w:r w:rsidRPr="00207688">
        <w:rPr>
          <w:sz w:val="20"/>
          <w:shd w:val="clear" w:color="auto" w:fill="FFFFFF"/>
          <w:vertAlign w:val="superscript"/>
        </w:rPr>
        <w:t xml:space="preserve">1 </w:t>
      </w:r>
      <w:r w:rsidRPr="00207688">
        <w:rPr>
          <w:sz w:val="20"/>
          <w:shd w:val="clear" w:color="auto" w:fill="FFFFFF"/>
        </w:rPr>
        <w:t>– по организациям, не относящимся к субъектам малого предпринимательства;</w:t>
      </w:r>
    </w:p>
    <w:p w:rsidR="00D401F2" w:rsidRDefault="00700331" w:rsidP="00C90084">
      <w:pPr>
        <w:pStyle w:val="afb"/>
        <w:widowControl w:val="0"/>
        <w:numPr>
          <w:ilvl w:val="0"/>
          <w:numId w:val="3"/>
        </w:numPr>
        <w:suppressAutoHyphens w:val="0"/>
        <w:spacing w:line="276" w:lineRule="auto"/>
        <w:ind w:left="0" w:firstLine="0"/>
        <w:jc w:val="both"/>
        <w:rPr>
          <w:sz w:val="20"/>
          <w:shd w:val="clear" w:color="auto" w:fill="FFFFFF"/>
        </w:rPr>
      </w:pPr>
      <w:r w:rsidRPr="00D401F2">
        <w:rPr>
          <w:sz w:val="20"/>
          <w:shd w:val="clear" w:color="auto" w:fill="FFFFFF"/>
          <w:vertAlign w:val="superscript"/>
        </w:rPr>
        <w:t>2</w:t>
      </w:r>
      <w:r w:rsidRPr="00D401F2">
        <w:rPr>
          <w:sz w:val="20"/>
          <w:shd w:val="clear" w:color="auto" w:fill="FFFFFF"/>
        </w:rPr>
        <w:t xml:space="preserve"> –</w:t>
      </w:r>
      <w:r w:rsidR="00D401F2" w:rsidRPr="00D401F2">
        <w:rPr>
          <w:sz w:val="20"/>
          <w:shd w:val="clear" w:color="auto" w:fill="FFFFFF"/>
        </w:rPr>
        <w:t xml:space="preserve"> </w:t>
      </w:r>
      <w:r w:rsidR="00261A6E" w:rsidRPr="00D401F2">
        <w:rPr>
          <w:sz w:val="20"/>
          <w:shd w:val="clear" w:color="auto" w:fill="FFFFFF"/>
        </w:rPr>
        <w:t>с учетом инвестиций резидентов ТОСЭР «Тольятти»</w:t>
      </w:r>
      <w:r w:rsidR="00D401F2">
        <w:rPr>
          <w:sz w:val="20"/>
          <w:shd w:val="clear" w:color="auto" w:fill="FFFFFF"/>
        </w:rPr>
        <w:t>;</w:t>
      </w:r>
      <w:r w:rsidR="00493FC3" w:rsidRPr="00D401F2">
        <w:rPr>
          <w:sz w:val="20"/>
          <w:shd w:val="clear" w:color="auto" w:fill="FFFFFF"/>
        </w:rPr>
        <w:t xml:space="preserve"> </w:t>
      </w:r>
    </w:p>
    <w:p w:rsidR="00C90084" w:rsidRPr="00D401F2" w:rsidRDefault="001D3079" w:rsidP="00C90084">
      <w:pPr>
        <w:pStyle w:val="afb"/>
        <w:widowControl w:val="0"/>
        <w:numPr>
          <w:ilvl w:val="0"/>
          <w:numId w:val="3"/>
        </w:numPr>
        <w:suppressAutoHyphens w:val="0"/>
        <w:spacing w:line="276" w:lineRule="auto"/>
        <w:ind w:left="0" w:firstLine="0"/>
        <w:jc w:val="both"/>
        <w:rPr>
          <w:sz w:val="20"/>
          <w:shd w:val="clear" w:color="auto" w:fill="FFFFFF"/>
        </w:rPr>
      </w:pPr>
      <w:r w:rsidRPr="00D401F2">
        <w:rPr>
          <w:sz w:val="20"/>
          <w:shd w:val="clear" w:color="auto" w:fill="FFFFFF"/>
          <w:vertAlign w:val="superscript"/>
        </w:rPr>
        <w:t>3</w:t>
      </w:r>
      <w:r w:rsidR="00C90084" w:rsidRPr="00D401F2">
        <w:rPr>
          <w:sz w:val="20"/>
          <w:shd w:val="clear" w:color="auto" w:fill="FFFFFF"/>
        </w:rPr>
        <w:t xml:space="preserve"> – по полному кругу организаций.</w:t>
      </w:r>
    </w:p>
    <w:p w:rsidR="002022CD" w:rsidRPr="00C96C23" w:rsidRDefault="002022CD" w:rsidP="00C96C23">
      <w:pPr>
        <w:pStyle w:val="afb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C96C23">
        <w:rPr>
          <w:szCs w:val="24"/>
          <w:shd w:val="clear" w:color="auto" w:fill="FFFFFF"/>
        </w:rPr>
        <w:lastRenderedPageBreak/>
        <w:t>В 2019 году рост цен на товары и услуги сохранился на достаточно низком уровне. С начала года индекс потребительских цен составил 102,4% (на 0,1</w:t>
      </w:r>
      <w:r w:rsidR="00C96C23" w:rsidRPr="00C96C23">
        <w:rPr>
          <w:szCs w:val="24"/>
          <w:shd w:val="clear" w:color="auto" w:fill="FFFFFF"/>
        </w:rPr>
        <w:t xml:space="preserve"> </w:t>
      </w:r>
      <w:r w:rsidR="00C96C23" w:rsidRPr="00196C5D">
        <w:rPr>
          <w:szCs w:val="24"/>
          <w:shd w:val="clear" w:color="auto" w:fill="FFFFFF"/>
        </w:rPr>
        <w:t>процентный пункт</w:t>
      </w:r>
      <w:r w:rsidRPr="00C96C23">
        <w:rPr>
          <w:szCs w:val="24"/>
          <w:shd w:val="clear" w:color="auto" w:fill="FFFFFF"/>
        </w:rPr>
        <w:t xml:space="preserve"> ниже уровня Российской Федерации), что незначительно выше аналогичного периода 2018 года </w:t>
      </w:r>
      <w:r w:rsidR="00493FC3" w:rsidRPr="00C96C23">
        <w:rPr>
          <w:szCs w:val="24"/>
          <w:shd w:val="clear" w:color="auto" w:fill="FFFFFF"/>
        </w:rPr>
        <w:t>(</w:t>
      </w:r>
      <w:r w:rsidRPr="00C96C23">
        <w:rPr>
          <w:szCs w:val="24"/>
          <w:shd w:val="clear" w:color="auto" w:fill="FFFFFF"/>
        </w:rPr>
        <w:t xml:space="preserve">на 0,1 </w:t>
      </w:r>
      <w:r w:rsidR="00C96C23" w:rsidRPr="00196C5D">
        <w:rPr>
          <w:szCs w:val="24"/>
          <w:shd w:val="clear" w:color="auto" w:fill="FFFFFF"/>
        </w:rPr>
        <w:t>процентный</w:t>
      </w:r>
      <w:r w:rsidR="00493FC3" w:rsidRPr="00196C5D">
        <w:rPr>
          <w:szCs w:val="24"/>
          <w:shd w:val="clear" w:color="auto" w:fill="FFFFFF"/>
        </w:rPr>
        <w:t xml:space="preserve"> пункт</w:t>
      </w:r>
      <w:r w:rsidR="00493FC3" w:rsidRPr="00C96C23">
        <w:rPr>
          <w:szCs w:val="24"/>
          <w:shd w:val="clear" w:color="auto" w:fill="FFFFFF"/>
        </w:rPr>
        <w:t>).</w:t>
      </w:r>
      <w:r w:rsidRPr="00C96C23">
        <w:rPr>
          <w:szCs w:val="24"/>
          <w:shd w:val="clear" w:color="auto" w:fill="FFFFFF"/>
        </w:rPr>
        <w:t xml:space="preserve"> </w:t>
      </w:r>
    </w:p>
    <w:p w:rsidR="002022CD" w:rsidRPr="00C96C23" w:rsidRDefault="002022CD" w:rsidP="00C96C23">
      <w:pPr>
        <w:pStyle w:val="afb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C96C23">
        <w:rPr>
          <w:szCs w:val="24"/>
          <w:shd w:val="clear" w:color="auto" w:fill="FFFFFF"/>
        </w:rPr>
        <w:t xml:space="preserve">Цены на продовольственные товары в </w:t>
      </w:r>
      <w:r w:rsidR="001F4E94" w:rsidRPr="00C96C23">
        <w:rPr>
          <w:szCs w:val="24"/>
          <w:shd w:val="clear" w:color="auto" w:fill="FFFFFF"/>
        </w:rPr>
        <w:t>1 полугодии</w:t>
      </w:r>
      <w:r w:rsidRPr="00C96C23">
        <w:rPr>
          <w:szCs w:val="24"/>
          <w:shd w:val="clear" w:color="auto" w:fill="FFFFFF"/>
        </w:rPr>
        <w:t xml:space="preserve"> 2019 года повысились в среднем на 3,3%, на н</w:t>
      </w:r>
      <w:r w:rsidR="001F4E94" w:rsidRPr="00C96C23">
        <w:rPr>
          <w:szCs w:val="24"/>
          <w:shd w:val="clear" w:color="auto" w:fill="FFFFFF"/>
        </w:rPr>
        <w:t>епродовольственные товары – 1,5</w:t>
      </w:r>
      <w:r w:rsidRPr="00C96C23">
        <w:rPr>
          <w:szCs w:val="24"/>
          <w:shd w:val="clear" w:color="auto" w:fill="FFFFFF"/>
        </w:rPr>
        <w:t>% и платные услуги — на 2,2%.</w:t>
      </w:r>
    </w:p>
    <w:p w:rsidR="002022CD" w:rsidRPr="00C96C23" w:rsidRDefault="002022CD" w:rsidP="00C96C23">
      <w:pPr>
        <w:pStyle w:val="afb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C96C23">
        <w:rPr>
          <w:szCs w:val="24"/>
          <w:shd w:val="clear" w:color="auto" w:fill="FFFFFF"/>
        </w:rPr>
        <w:t xml:space="preserve">Так, рыба и морепродукты подорожали на 2,9%, молоко и молочная продукция – на 3,4%, хлеб и хлебобулочные изделия – на 7,2%, плодоовощная продукция, включая картофель – на 19,1%. Продолжилось увеличение розничных цен на автомобильное топливо. </w:t>
      </w:r>
      <w:r w:rsidR="00A552AC" w:rsidRPr="00C96C23">
        <w:rPr>
          <w:szCs w:val="24"/>
          <w:shd w:val="clear" w:color="auto" w:fill="FFFFFF"/>
        </w:rPr>
        <w:t>Снижение цен наблюдалось на мясо и птицу – на 1,9%, сахар - на 8,9%, яйца – на 26,1%.</w:t>
      </w:r>
    </w:p>
    <w:p w:rsidR="002022CD" w:rsidRPr="00C96C23" w:rsidRDefault="002022CD" w:rsidP="00C96C23">
      <w:pPr>
        <w:pStyle w:val="aff0"/>
        <w:spacing w:line="276" w:lineRule="auto"/>
        <w:rPr>
          <w:sz w:val="24"/>
          <w:szCs w:val="24"/>
        </w:rPr>
      </w:pPr>
      <w:r w:rsidRPr="00C96C23">
        <w:rPr>
          <w:sz w:val="24"/>
          <w:szCs w:val="24"/>
        </w:rPr>
        <w:t xml:space="preserve">Стоимость условного (минимального) набора продуктов питания в июне 2019 года составила в </w:t>
      </w:r>
      <w:r w:rsidR="00A552AC" w:rsidRPr="00C96C23">
        <w:rPr>
          <w:sz w:val="24"/>
          <w:szCs w:val="24"/>
        </w:rPr>
        <w:t xml:space="preserve">городском округе </w:t>
      </w:r>
      <w:r w:rsidRPr="00C96C23">
        <w:rPr>
          <w:sz w:val="24"/>
          <w:szCs w:val="24"/>
        </w:rPr>
        <w:t>Тольятти 4 318,4 руб</w:t>
      </w:r>
      <w:r w:rsidR="00A552AC" w:rsidRPr="00C96C23">
        <w:rPr>
          <w:sz w:val="24"/>
          <w:szCs w:val="24"/>
        </w:rPr>
        <w:t>ля</w:t>
      </w:r>
      <w:r w:rsidRPr="00C96C23">
        <w:rPr>
          <w:sz w:val="24"/>
          <w:szCs w:val="24"/>
        </w:rPr>
        <w:t xml:space="preserve"> в расчете на месяц, что ниже, чем в целом по Самарской области на 24,5 руб</w:t>
      </w:r>
      <w:r w:rsidR="00A552AC" w:rsidRPr="00C96C23">
        <w:rPr>
          <w:sz w:val="24"/>
          <w:szCs w:val="24"/>
        </w:rPr>
        <w:t>лей</w:t>
      </w:r>
      <w:r w:rsidRPr="00C96C23">
        <w:rPr>
          <w:sz w:val="24"/>
          <w:szCs w:val="24"/>
        </w:rPr>
        <w:t xml:space="preserve"> и </w:t>
      </w:r>
      <w:r w:rsidR="00C96C23" w:rsidRPr="00C96C23">
        <w:rPr>
          <w:sz w:val="24"/>
          <w:szCs w:val="24"/>
        </w:rPr>
        <w:t xml:space="preserve">ниже </w:t>
      </w:r>
      <w:r w:rsidR="001F4E94" w:rsidRPr="00C96C23">
        <w:rPr>
          <w:sz w:val="24"/>
          <w:szCs w:val="24"/>
        </w:rPr>
        <w:t xml:space="preserve">чем </w:t>
      </w:r>
      <w:r w:rsidRPr="00C96C23">
        <w:rPr>
          <w:sz w:val="24"/>
          <w:szCs w:val="24"/>
        </w:rPr>
        <w:t>по городскому округу Самара на 69,8 руб</w:t>
      </w:r>
      <w:r w:rsidR="00A552AC" w:rsidRPr="00C96C23">
        <w:rPr>
          <w:sz w:val="24"/>
          <w:szCs w:val="24"/>
        </w:rPr>
        <w:t>лей</w:t>
      </w:r>
      <w:r w:rsidRPr="00C96C23">
        <w:rPr>
          <w:sz w:val="24"/>
          <w:szCs w:val="24"/>
        </w:rPr>
        <w:t xml:space="preserve"> (для сравнения, в среднем по Российской Федерации стоимость минимального набора продуктов питания составила 4 367 руб</w:t>
      </w:r>
      <w:r w:rsidR="00A552AC" w:rsidRPr="00C96C23">
        <w:rPr>
          <w:sz w:val="24"/>
          <w:szCs w:val="24"/>
        </w:rPr>
        <w:t>лей</w:t>
      </w:r>
      <w:r w:rsidRPr="00C96C23">
        <w:rPr>
          <w:sz w:val="24"/>
          <w:szCs w:val="24"/>
        </w:rPr>
        <w:t xml:space="preserve">). </w:t>
      </w:r>
    </w:p>
    <w:p w:rsidR="002022CD" w:rsidRPr="00C96C23" w:rsidRDefault="002022CD" w:rsidP="00C96C23">
      <w:pPr>
        <w:pStyle w:val="afb"/>
        <w:widowControl w:val="0"/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szCs w:val="24"/>
          <w:shd w:val="clear" w:color="auto" w:fill="FFFFFF"/>
        </w:rPr>
      </w:pPr>
      <w:r w:rsidRPr="00C96C23">
        <w:rPr>
          <w:szCs w:val="24"/>
          <w:shd w:val="clear" w:color="auto" w:fill="FFFFFF"/>
        </w:rPr>
        <w:t xml:space="preserve">Согласно </w:t>
      </w:r>
      <w:r w:rsidR="001F4E94" w:rsidRPr="00C96C23">
        <w:rPr>
          <w:szCs w:val="24"/>
          <w:shd w:val="clear" w:color="auto" w:fill="FFFFFF"/>
        </w:rPr>
        <w:t>С</w:t>
      </w:r>
      <w:r w:rsidRPr="00C96C23">
        <w:rPr>
          <w:szCs w:val="24"/>
          <w:shd w:val="clear" w:color="auto" w:fill="FFFFFF"/>
        </w:rPr>
        <w:t xml:space="preserve">ценарным условиям социально-экономического развития Самарской области на 2020 год и плановый период 2021 и 2022 годов </w:t>
      </w:r>
      <w:r w:rsidR="001F4E94" w:rsidRPr="00C96C23">
        <w:rPr>
          <w:szCs w:val="24"/>
          <w:shd w:val="clear" w:color="auto" w:fill="FFFFFF"/>
        </w:rPr>
        <w:t xml:space="preserve">(далее – Сценарные условия) </w:t>
      </w:r>
      <w:r w:rsidRPr="00C96C23">
        <w:rPr>
          <w:szCs w:val="24"/>
          <w:shd w:val="clear" w:color="auto" w:fill="FFFFFF"/>
        </w:rPr>
        <w:t>уровень инфляции в целом за 2019 год ожидается на уровне 104,8% (декабрь к декабрю предыдущего года)</w:t>
      </w:r>
      <w:r w:rsidR="00C96C23" w:rsidRPr="00C96C23">
        <w:rPr>
          <w:szCs w:val="24"/>
          <w:shd w:val="clear" w:color="auto" w:fill="FFFFFF"/>
        </w:rPr>
        <w:t xml:space="preserve"> и 105,2% в среднегодовом исчислении</w:t>
      </w:r>
      <w:r w:rsidRPr="00C96C23">
        <w:rPr>
          <w:szCs w:val="24"/>
          <w:shd w:val="clear" w:color="auto" w:fill="FFFFFF"/>
        </w:rPr>
        <w:t xml:space="preserve">, </w:t>
      </w:r>
      <w:r w:rsidRPr="00C96C23">
        <w:rPr>
          <w:szCs w:val="24"/>
        </w:rPr>
        <w:t>индекс-дефлятор оборота розни</w:t>
      </w:r>
      <w:r w:rsidR="001F4E94" w:rsidRPr="00C96C23">
        <w:rPr>
          <w:szCs w:val="24"/>
        </w:rPr>
        <w:t>чной торговли – на уровне 105,3</w:t>
      </w:r>
      <w:r w:rsidRPr="00C96C23">
        <w:rPr>
          <w:szCs w:val="24"/>
        </w:rPr>
        <w:t>%</w:t>
      </w:r>
      <w:r w:rsidRPr="00C96C23">
        <w:rPr>
          <w:szCs w:val="24"/>
          <w:shd w:val="clear" w:color="auto" w:fill="FFFFFF"/>
        </w:rPr>
        <w:t xml:space="preserve">. </w:t>
      </w:r>
    </w:p>
    <w:p w:rsidR="00536336" w:rsidRPr="00C96C23" w:rsidRDefault="00536336" w:rsidP="00C96C23">
      <w:pPr>
        <w:pStyle w:val="aff0"/>
        <w:spacing w:line="276" w:lineRule="auto"/>
        <w:rPr>
          <w:sz w:val="24"/>
          <w:szCs w:val="24"/>
        </w:rPr>
      </w:pPr>
      <w:r w:rsidRPr="00C96C23">
        <w:rPr>
          <w:sz w:val="24"/>
          <w:szCs w:val="24"/>
        </w:rPr>
        <w:t>Индекс-дефлятор в промышленности, который находится расчетным путем, исходя из дефляторов по каждому виду промышленной деятельности, за 201</w:t>
      </w:r>
      <w:r w:rsidR="00BF4E15" w:rsidRPr="00C96C23">
        <w:rPr>
          <w:sz w:val="24"/>
          <w:szCs w:val="24"/>
        </w:rPr>
        <w:t>9</w:t>
      </w:r>
      <w:r w:rsidRPr="00C96C23">
        <w:rPr>
          <w:sz w:val="24"/>
          <w:szCs w:val="24"/>
        </w:rPr>
        <w:t xml:space="preserve"> год по городскому округу Тольятти по оценке составит </w:t>
      </w:r>
      <w:r w:rsidR="00BF4E15" w:rsidRPr="00C96C23">
        <w:rPr>
          <w:sz w:val="24"/>
          <w:szCs w:val="24"/>
        </w:rPr>
        <w:t>105,2</w:t>
      </w:r>
      <w:r w:rsidRPr="00C96C23">
        <w:rPr>
          <w:sz w:val="24"/>
          <w:szCs w:val="24"/>
        </w:rPr>
        <w:t>%.</w:t>
      </w:r>
    </w:p>
    <w:p w:rsidR="00536336" w:rsidRPr="00C96C23" w:rsidRDefault="00250556" w:rsidP="00C96C23">
      <w:pPr>
        <w:pStyle w:val="aff0"/>
        <w:spacing w:line="276" w:lineRule="auto"/>
        <w:rPr>
          <w:sz w:val="24"/>
          <w:szCs w:val="24"/>
        </w:rPr>
      </w:pPr>
      <w:r w:rsidRPr="00C96C23">
        <w:rPr>
          <w:sz w:val="24"/>
          <w:szCs w:val="24"/>
        </w:rPr>
        <w:t>Индекс цен в</w:t>
      </w:r>
      <w:r w:rsidR="00536336" w:rsidRPr="00C96C23">
        <w:rPr>
          <w:sz w:val="24"/>
          <w:szCs w:val="24"/>
        </w:rPr>
        <w:t xml:space="preserve"> инвестиционн</w:t>
      </w:r>
      <w:r w:rsidRPr="00C96C23">
        <w:rPr>
          <w:sz w:val="24"/>
          <w:szCs w:val="24"/>
        </w:rPr>
        <w:t>ой</w:t>
      </w:r>
      <w:r w:rsidR="00536336" w:rsidRPr="00C96C23">
        <w:rPr>
          <w:sz w:val="24"/>
          <w:szCs w:val="24"/>
        </w:rPr>
        <w:t xml:space="preserve"> </w:t>
      </w:r>
      <w:r w:rsidRPr="00C96C23">
        <w:rPr>
          <w:sz w:val="24"/>
          <w:szCs w:val="24"/>
        </w:rPr>
        <w:t>сфере</w:t>
      </w:r>
      <w:r w:rsidR="00536336" w:rsidRPr="00C96C23">
        <w:rPr>
          <w:sz w:val="24"/>
          <w:szCs w:val="24"/>
        </w:rPr>
        <w:t xml:space="preserve"> оцен</w:t>
      </w:r>
      <w:r w:rsidRPr="00C96C23">
        <w:rPr>
          <w:sz w:val="24"/>
          <w:szCs w:val="24"/>
        </w:rPr>
        <w:t>ивается</w:t>
      </w:r>
      <w:r w:rsidR="00536336" w:rsidRPr="00C96C23">
        <w:rPr>
          <w:sz w:val="24"/>
          <w:szCs w:val="24"/>
        </w:rPr>
        <w:t xml:space="preserve"> на</w:t>
      </w:r>
      <w:r w:rsidRPr="00C96C23">
        <w:rPr>
          <w:sz w:val="24"/>
          <w:szCs w:val="24"/>
        </w:rPr>
        <w:t xml:space="preserve"> уровне </w:t>
      </w:r>
      <w:r w:rsidR="00BF4E15" w:rsidRPr="00C96C23">
        <w:rPr>
          <w:sz w:val="24"/>
          <w:szCs w:val="24"/>
        </w:rPr>
        <w:t>105,1</w:t>
      </w:r>
      <w:r w:rsidR="00536336" w:rsidRPr="00C96C23">
        <w:rPr>
          <w:sz w:val="24"/>
          <w:szCs w:val="24"/>
        </w:rPr>
        <w:t>%</w:t>
      </w:r>
      <w:r w:rsidR="000A2FDD" w:rsidRPr="00C96C23">
        <w:rPr>
          <w:sz w:val="24"/>
          <w:szCs w:val="24"/>
        </w:rPr>
        <w:t xml:space="preserve"> </w:t>
      </w:r>
      <w:r w:rsidRPr="00C96C23">
        <w:rPr>
          <w:sz w:val="24"/>
          <w:szCs w:val="24"/>
        </w:rPr>
        <w:t xml:space="preserve">согласно </w:t>
      </w:r>
      <w:r w:rsidR="00255BA3" w:rsidRPr="00C96C23">
        <w:rPr>
          <w:sz w:val="24"/>
          <w:szCs w:val="24"/>
        </w:rPr>
        <w:t xml:space="preserve">параметрам </w:t>
      </w:r>
      <w:r w:rsidR="001F4E94" w:rsidRPr="00C96C23">
        <w:rPr>
          <w:sz w:val="24"/>
          <w:szCs w:val="24"/>
        </w:rPr>
        <w:t>С</w:t>
      </w:r>
      <w:r w:rsidRPr="00C96C23">
        <w:rPr>
          <w:sz w:val="24"/>
          <w:szCs w:val="24"/>
        </w:rPr>
        <w:t>ценарны</w:t>
      </w:r>
      <w:r w:rsidR="00255BA3" w:rsidRPr="00C96C23">
        <w:rPr>
          <w:sz w:val="24"/>
          <w:szCs w:val="24"/>
        </w:rPr>
        <w:t>х условий</w:t>
      </w:r>
      <w:r w:rsidR="00536336" w:rsidRPr="00C96C23">
        <w:rPr>
          <w:sz w:val="24"/>
          <w:szCs w:val="24"/>
        </w:rPr>
        <w:t>.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Рост тарифов на регулируемые виды услуг организаций коммунального комплекса </w:t>
      </w: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за 2019 год не превысил прогнозных значений показателей.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Предельные индексы роста совокупной платы граждан за коммунальные услуги на 2019 год по городскому округу Тольятти утверждены постановлением Губернатора Самарской области от 29.12.2018 № 256 (редакция от 25.06.2019 № 105).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Постановлением Правительства </w:t>
      </w:r>
      <w:r w:rsidR="00C96C23"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12.11.2018 №1347 «Об особенностях индексации платы граждан за коммунальные услуги в 2019 году» предусмотрено повышение тарифов на жилищно-коммунальные услуги в 2019 году в два этапа: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- с 01 января 2019 года (в связи с повышением с 18</w:t>
      </w:r>
      <w:r w:rsidR="00A21783"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,0</w:t>
      </w: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% до 20</w:t>
      </w:r>
      <w:r w:rsidR="00A21783"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,0</w:t>
      </w: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% ставки налога на добавленную стоимость (НДС));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- с 01 июля 2019 года.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Тарифы на первое полугодие 2019 года (отопление, водопотребление, водоотведение, горячая вода и электроснабжение) установлены Министерством энергетики и жилищно-коммунального хозяйства Самарской области.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Тарифы на теплоэнергию по городскому округу Тольятти в первой половине 2019 года составили: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ПАО «Т Плюс» (СЦТ Автозаводский район городского округа Тольятти):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 01.01.2019 по 30.06.2019 – 1 509,60 рублей/Гкал с НДС с ростом 1,7%; 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Для ПАО «Т Плюс» (СЦТ Центральный и Комсомольский районы городского округа Тольятти):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- с 01.01.2019 по 30.06.2019 – 1 406,40 рублей/Гкал с НДС с ростом 1,7%</w:t>
      </w:r>
      <w:r w:rsidR="00C96C23"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Рост тарифов на услуги по водоснабжению, водоотведению и очистке сточных вод организаций коммунального комплекса городского округа Тольятти в 1 полугодии 2019 года составил: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по водоснабжению: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ООО «Волжские коммунальные системы» (Центральный и Комсомольский районы городского округа Тольятти) – 1,7%;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ОАО «ТЕВИС» (Автозаводский район городского округа Тольятти) – 1,7%.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по водоотведению и очистке сточных вод: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ООО «Волжские коммунальные системы» (Центральный и Комсомольский районы городского округа Тольятти) – 1,7%;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ОАО «ТЕВИС» (Автозаводский район городского округа Тольятти) – 1,7% для не нормируемых абонентов (население) и 1,7% для абонентов, для которых устанавливаются нормативы водоотведения (сброса) по составу сточных вод.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Рост тарифа на электрическую энергию для населения с 01.01.2019 составил: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населения и приравненных к нему категорий, за исключением населения и потребителей, указанных в пунктах 2 и 3 приказа от 14.12.2018 № 776: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- одноставочный тариф – 1,5%;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одноставочный тариф, дифференцированный по двум зонам суток – 3</w:t>
      </w:r>
      <w:r w:rsidR="00A21783"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,0</w:t>
      </w: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%.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- одноставочный тариф – 1,4%;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-одноставочный тариф, дифференцированный по двум зонам суток – 3</w:t>
      </w:r>
      <w:r w:rsidR="00A21783"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,0</w:t>
      </w: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%.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Рост тарифа на газ природный, реализуемый населению Самарской области с 01.01.2019 составил 1,7%.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С 01.01.2019 Министерством энергетики и жилищно-коммунального хозяйства Самарской области утвержден единый тариф на услугу по обращению с твердыми коммунальными отходами на территории Самарской области для населения в размере 598,16 руб</w:t>
      </w:r>
      <w:r w:rsidR="00A21783"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лей</w:t>
      </w: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Тарифы на второе полугодие 2019 года (отопление, водопотребление, водоотведение, горячая вода и электроснабжение) установлены Министерством энергетики и жилищно-коммунального хозяйства Самарской области.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Тарифы на теплоэнергию по городскому округу Тольятти во второй половине 2019 году составили: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ПАО «Т Плюс» (СЦТ Автозаводский район городского округа Тольятти):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- с 01.07.2019 по 31.12.2019 – 1 554 рублей/Гкал с НДС с ростом 2,9%.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Для ПАО «Т Плюс» (СЦТ Центральный и Комсомольский районы городского округа Тольятти):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- с 01.07.2019 по 31.12.2019 – 1 448,4 рублей/Гкал с НДС с ростом 3</w:t>
      </w:r>
      <w:r w:rsidR="00A21783"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,0</w:t>
      </w: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%.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Рост тарифов на услуги по водоснабжению, водоотведению и очистке сточных вод организаций коммунального комплекса городского округа Тольятти во втором полугодии 2019 года составил: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 водоснабжению: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ООО «Волжские коммунальные системы» (Центральный и Комсомольский районы городского округа Тольятти) - 1,5%;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ОАО «ТЕВИС» (Автозаводский район городского округа Тольятти) </w:t>
      </w:r>
      <w:r w:rsidR="00A21783"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A21783"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,0</w:t>
      </w: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%.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по водоотведению и очистке сточных вод: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ООО «Волжские коммунальные системы» (Центральный и Комсомольский районы городского округа Тольятти) - 1,5%;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ОАО «ТЕВИС» (Автозаводский район городского округа Тольятти) – 1,7% для не нормируемых абонентов (население) и 10</w:t>
      </w:r>
      <w:r w:rsidR="00A21783"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,0</w:t>
      </w: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% для абонентов, для которых устанавливаются нормативы водоотведения (сброса) по составу сточных вод.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Рост тарифа на электрическую энергию для населения с 01.07.2019 составил: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населения и приравненных к нему категорий, за исключением населения и потребителей, указанных в пунктах 2 и 3 приказа от 14.12.2018 № 776: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- одноставочный тариф – 2,7%;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одноставочный тариф, дифференцированный по двум зонам суток – 5,3%.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- одноставочный тариф – 2,8%;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-одноставочный тариф, дифференцированный по двум зонам суток – 5,2%.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Рост тарифа на газ природный, реализуемый населению Самарской области с 01.07.2019 составил 1,4%.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С 01.07.2019 единый тариф на услугу по обращению с тв</w:t>
      </w:r>
      <w:r w:rsidRPr="009B3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ердыми коммунальными отходами на территории Самарской области для населения составил </w:t>
      </w:r>
      <w:r w:rsidR="007B59AD" w:rsidRPr="009B3E45">
        <w:rPr>
          <w:rFonts w:ascii="Times New Roman" w:hAnsi="Times New Roman" w:cs="Times New Roman"/>
          <w:sz w:val="24"/>
          <w:szCs w:val="24"/>
          <w:shd w:val="clear" w:color="auto" w:fill="FFFFFF"/>
        </w:rPr>
        <w:t>598,16</w:t>
      </w:r>
      <w:r w:rsidR="00A21783" w:rsidRPr="009B3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</w:t>
      </w:r>
      <w:r w:rsidRPr="009B3E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Рост тарифов по содержанию жилых помещений для нанимателей муниципального жилищного фонда с 01.07.2019 по степени </w:t>
      </w:r>
      <w:r w:rsidR="00A21783"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благоустройства не превысил 4,0</w:t>
      </w: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%.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Постановлением </w:t>
      </w:r>
      <w:r w:rsidR="00860DA6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городского округа Тольятти от 26.12.2018 № 3885-п/1 утверждены регулируемые тарифы на перевозки пассажиров и багажа по муниципальным маршрутам регулярных перевозок в городском округе Тольятти с 01.01.2019: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- регулируемые тарифы на перевозки пассажиров и багажа при приобретении билета на одну поездку в размере 28 рублей;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- льготные регулируемые тарифы на перевозки пассажиров и багажа при оплате транспортными картами жителя городского округа Тольятти в размере 25 рублей;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- стоимость льготного электронного проездного билета «Студенческий» на месяц на два вида транспорта (автобус, троллейбус) в размере 840 рублей;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- стоимость льготного электронного проездного билета «Для учащихся» на месяц на два вида транспорта (автобус, троллейбус) в размере 600 рублей;</w:t>
      </w:r>
    </w:p>
    <w:p w:rsidR="0031346E" w:rsidRPr="00C96C23" w:rsidRDefault="0031346E" w:rsidP="00C96C23">
      <w:pPr>
        <w:pStyle w:val="1f0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C23">
        <w:rPr>
          <w:rFonts w:ascii="Times New Roman" w:hAnsi="Times New Roman" w:cs="Times New Roman"/>
          <w:sz w:val="24"/>
          <w:szCs w:val="24"/>
          <w:shd w:val="clear" w:color="auto" w:fill="FFFFFF"/>
        </w:rPr>
        <w:t>- стоимость безлимитной единой транспортной карты на два вида транспорта (автобус, троллейбус) в размере 1 500 рублей.</w:t>
      </w:r>
    </w:p>
    <w:p w:rsidR="00616D7E" w:rsidRPr="005319C7" w:rsidRDefault="00616D7E" w:rsidP="00443EE9">
      <w:pPr>
        <w:pStyle w:val="1f0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D3812" w:rsidRPr="00A92456" w:rsidRDefault="004D3812" w:rsidP="00C96C23">
      <w:pPr>
        <w:pStyle w:val="1f0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456">
        <w:rPr>
          <w:rFonts w:ascii="Times New Roman" w:hAnsi="Times New Roman" w:cs="Times New Roman"/>
          <w:b/>
          <w:sz w:val="24"/>
          <w:szCs w:val="24"/>
        </w:rPr>
        <w:t>Промышленное производство</w:t>
      </w:r>
      <w:bookmarkStart w:id="1" w:name="пром"/>
      <w:bookmarkEnd w:id="1"/>
      <w:r w:rsidRPr="00A92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812" w:rsidRPr="00A92456" w:rsidRDefault="004D3812" w:rsidP="00C96C23">
      <w:pPr>
        <w:pStyle w:val="1f0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456">
        <w:rPr>
          <w:rFonts w:ascii="Times New Roman" w:hAnsi="Times New Roman" w:cs="Times New Roman"/>
          <w:b/>
          <w:sz w:val="24"/>
          <w:szCs w:val="24"/>
        </w:rPr>
        <w:t>(Обрабатывающие производства. Обеспечение электрической энергией, газом и паром; кондиционирование воздуха. Водоснабжение; водоотведение, организация сбора и утилизации отходов, деятельность по ликвидации загрязнений)</w:t>
      </w:r>
    </w:p>
    <w:p w:rsidR="004D3812" w:rsidRPr="005319C7" w:rsidRDefault="004D3812" w:rsidP="00742686">
      <w:pPr>
        <w:pStyle w:val="1f0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>В текущем году в промышленном комплексе городского округа Тольятти наблюдается замедление динамики по сравнению с высокой базой прошлого года.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 xml:space="preserve"> Так, по итогам 1 полугодия 2019 года индекс промышленного производства составил 99,8% к 1 полугодию 2018 года, в том числе по обрабатывающим производствам (раздел С) – 99,8%. 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 xml:space="preserve">Объем отгруженной продукции собственного производства предприятиям, не относящимся к субъектам малого предпринимательства, увеличился в январе-июне 2019 года на 5,1% к соответствующему периоду прошлого года и составил 274 710,2 млн. рублей, в том числе в обрабатывающем секторе -  на 3,8% до 243 956,8 млн. рублей. </w:t>
      </w:r>
    </w:p>
    <w:p w:rsidR="00A21783" w:rsidRDefault="00A21783" w:rsidP="00742686">
      <w:pPr>
        <w:pStyle w:val="aff0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A21783">
        <w:rPr>
          <w:sz w:val="24"/>
          <w:szCs w:val="24"/>
          <w:lang w:eastAsia="ru-RU"/>
        </w:rPr>
        <w:t xml:space="preserve"> рейтинге городских округов Самарской области </w:t>
      </w:r>
      <w:r>
        <w:rPr>
          <w:sz w:val="24"/>
          <w:szCs w:val="24"/>
          <w:lang w:eastAsia="ru-RU"/>
        </w:rPr>
        <w:t xml:space="preserve">по индексу промышленного производства </w:t>
      </w:r>
      <w:r w:rsidR="006F6BDD">
        <w:rPr>
          <w:sz w:val="24"/>
          <w:szCs w:val="24"/>
          <w:lang w:eastAsia="ru-RU"/>
        </w:rPr>
        <w:t xml:space="preserve">в 1 полугодии 2019 года </w:t>
      </w:r>
      <w:r>
        <w:rPr>
          <w:sz w:val="24"/>
          <w:szCs w:val="24"/>
          <w:lang w:eastAsia="ru-RU"/>
        </w:rPr>
        <w:t xml:space="preserve">городской округ Тольятти спустился с 4 места на 6 место. По объемам отгруженной </w:t>
      </w:r>
      <w:r w:rsidR="006F6BDD">
        <w:rPr>
          <w:sz w:val="24"/>
          <w:szCs w:val="24"/>
          <w:lang w:eastAsia="ru-RU"/>
        </w:rPr>
        <w:t xml:space="preserve">промышленной </w:t>
      </w:r>
      <w:r>
        <w:rPr>
          <w:sz w:val="24"/>
          <w:szCs w:val="24"/>
          <w:lang w:eastAsia="ru-RU"/>
        </w:rPr>
        <w:t xml:space="preserve">продукции </w:t>
      </w:r>
      <w:r w:rsidR="006F6BDD">
        <w:rPr>
          <w:sz w:val="24"/>
          <w:szCs w:val="24"/>
          <w:lang w:eastAsia="ru-RU"/>
        </w:rPr>
        <w:t>на душу населения (390 910 рублей) остался на 2 месте после городского округа Отрадный.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 xml:space="preserve">В 1 полугодии текущего года удельный вес автомобилестроительной отрасли в общем объеме отгруженных промышленных товаров составил 63,2% (в 2018 году - 63,7%). Доля химического производства </w:t>
      </w:r>
      <w:r w:rsidR="00A92456">
        <w:rPr>
          <w:sz w:val="24"/>
          <w:szCs w:val="24"/>
          <w:lang w:eastAsia="ru-RU"/>
        </w:rPr>
        <w:t>увеличилась</w:t>
      </w:r>
      <w:r w:rsidRPr="0081226A">
        <w:rPr>
          <w:sz w:val="24"/>
          <w:szCs w:val="24"/>
          <w:lang w:eastAsia="ru-RU"/>
        </w:rPr>
        <w:t xml:space="preserve"> до 24,2% (в 2018 году – 2</w:t>
      </w:r>
      <w:r w:rsidR="00A92456">
        <w:rPr>
          <w:sz w:val="24"/>
          <w:szCs w:val="24"/>
          <w:lang w:eastAsia="ru-RU"/>
        </w:rPr>
        <w:t>4</w:t>
      </w:r>
      <w:r w:rsidR="00D0645A">
        <w:rPr>
          <w:sz w:val="24"/>
          <w:szCs w:val="24"/>
          <w:lang w:eastAsia="ru-RU"/>
        </w:rPr>
        <w:t>,0</w:t>
      </w:r>
      <w:r w:rsidRPr="0081226A">
        <w:rPr>
          <w:sz w:val="24"/>
          <w:szCs w:val="24"/>
          <w:lang w:eastAsia="ru-RU"/>
        </w:rPr>
        <w:t>%). Удельный вес остальных производств в отгрузке промышленной продукции составил 12,6% (в 2018 году – 12,</w:t>
      </w:r>
      <w:r w:rsidR="00A92456">
        <w:rPr>
          <w:sz w:val="24"/>
          <w:szCs w:val="24"/>
          <w:lang w:eastAsia="ru-RU"/>
        </w:rPr>
        <w:t>3</w:t>
      </w:r>
      <w:r w:rsidRPr="0081226A">
        <w:rPr>
          <w:sz w:val="24"/>
          <w:szCs w:val="24"/>
          <w:lang w:eastAsia="ru-RU"/>
        </w:rPr>
        <w:t>%).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 xml:space="preserve">Объемы производства автотранспортных средств, прицепов и полуприцепов остались </w:t>
      </w:r>
      <w:r w:rsidR="00A92456">
        <w:rPr>
          <w:sz w:val="24"/>
          <w:szCs w:val="24"/>
          <w:lang w:eastAsia="ru-RU"/>
        </w:rPr>
        <w:t xml:space="preserve">примерно </w:t>
      </w:r>
      <w:r w:rsidRPr="0081226A">
        <w:rPr>
          <w:sz w:val="24"/>
          <w:szCs w:val="24"/>
          <w:lang w:eastAsia="ru-RU"/>
        </w:rPr>
        <w:t>на уровне аналогичного периода прошлого года (индекс производства – 100,2%). Производство легковых автомобилей снизилось на 2</w:t>
      </w:r>
      <w:r w:rsidR="006A649E">
        <w:rPr>
          <w:sz w:val="24"/>
          <w:szCs w:val="24"/>
          <w:lang w:eastAsia="ru-RU"/>
        </w:rPr>
        <w:t>,0</w:t>
      </w:r>
      <w:r w:rsidRPr="0081226A">
        <w:rPr>
          <w:sz w:val="24"/>
          <w:szCs w:val="24"/>
          <w:lang w:eastAsia="ru-RU"/>
        </w:rPr>
        <w:t>% до 194,2 тыс.</w:t>
      </w:r>
      <w:r w:rsidR="0068738C">
        <w:rPr>
          <w:sz w:val="24"/>
          <w:szCs w:val="24"/>
          <w:lang w:eastAsia="ru-RU"/>
        </w:rPr>
        <w:t xml:space="preserve"> </w:t>
      </w:r>
      <w:r w:rsidRPr="0081226A">
        <w:rPr>
          <w:sz w:val="24"/>
          <w:szCs w:val="24"/>
          <w:lang w:eastAsia="ru-RU"/>
        </w:rPr>
        <w:t xml:space="preserve">штук, при этом объем комплектующих и принадлежностей для автотранспортных средств вырос на 7,4% </w:t>
      </w:r>
      <w:r w:rsidR="0068738C">
        <w:rPr>
          <w:sz w:val="24"/>
          <w:szCs w:val="24"/>
          <w:lang w:eastAsia="ru-RU"/>
        </w:rPr>
        <w:t xml:space="preserve">и </w:t>
      </w:r>
      <w:r w:rsidR="0068738C" w:rsidRPr="00EC1F32">
        <w:rPr>
          <w:sz w:val="24"/>
          <w:szCs w:val="24"/>
          <w:lang w:eastAsia="ru-RU"/>
        </w:rPr>
        <w:t>составил</w:t>
      </w:r>
      <w:r w:rsidRPr="00EC1F32">
        <w:rPr>
          <w:sz w:val="24"/>
          <w:szCs w:val="24"/>
          <w:lang w:eastAsia="ru-RU"/>
        </w:rPr>
        <w:t xml:space="preserve"> 40 560,0 млн. рублей</w:t>
      </w:r>
      <w:r w:rsidRPr="0081226A">
        <w:rPr>
          <w:sz w:val="24"/>
          <w:szCs w:val="24"/>
          <w:lang w:eastAsia="ru-RU"/>
        </w:rPr>
        <w:t xml:space="preserve">.  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>Объем отгруженной продукции за 1 полугодие 2019 года по производств</w:t>
      </w:r>
      <w:r w:rsidR="006F6BDD">
        <w:rPr>
          <w:sz w:val="24"/>
          <w:szCs w:val="24"/>
          <w:lang w:eastAsia="ru-RU"/>
        </w:rPr>
        <w:t>у</w:t>
      </w:r>
      <w:r w:rsidRPr="0081226A">
        <w:rPr>
          <w:sz w:val="24"/>
          <w:szCs w:val="24"/>
          <w:lang w:eastAsia="ru-RU"/>
        </w:rPr>
        <w:t xml:space="preserve"> автотранспортных средств, прицепов и полуприцепов увеличился на 4,4% к соответствующему периоду прошлого года до 173 576,4 млн. рублей.</w:t>
      </w:r>
    </w:p>
    <w:p w:rsidR="00F77DAD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>Основное влияние на динамику показателей в автомобилестроении оказывает деятельность АО «АВТОВАЗ», доля которого в общем объеме произведенных легковых автомобилей в городе составляет более 9</w:t>
      </w:r>
      <w:r w:rsidR="00A92456">
        <w:rPr>
          <w:sz w:val="24"/>
          <w:szCs w:val="24"/>
          <w:lang w:eastAsia="ru-RU"/>
        </w:rPr>
        <w:t>0</w:t>
      </w:r>
      <w:r w:rsidR="006A649E">
        <w:rPr>
          <w:sz w:val="24"/>
          <w:szCs w:val="24"/>
          <w:lang w:eastAsia="ru-RU"/>
        </w:rPr>
        <w:t>,0</w:t>
      </w:r>
      <w:r w:rsidRPr="0081226A">
        <w:rPr>
          <w:sz w:val="24"/>
          <w:szCs w:val="24"/>
          <w:lang w:eastAsia="ru-RU"/>
        </w:rPr>
        <w:t xml:space="preserve">%. </w:t>
      </w:r>
    </w:p>
    <w:p w:rsidR="0081226A" w:rsidRPr="0081226A" w:rsidRDefault="00F77DAD" w:rsidP="00742686">
      <w:pPr>
        <w:pStyle w:val="aff0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данным АО «АВТОВАЗ» в</w:t>
      </w:r>
      <w:r w:rsidR="0081226A" w:rsidRPr="0081226A">
        <w:rPr>
          <w:sz w:val="24"/>
          <w:szCs w:val="24"/>
          <w:lang w:eastAsia="ru-RU"/>
        </w:rPr>
        <w:t xml:space="preserve"> первой половине 2019 года на российском рынке продано 174 186 легковых и легких коммерческих автомобилей LADA, что превышает прошлогодние показатели на 2,5%. 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>Рыночная доля LADA в сегменте легковых и легких коммерческих автомобилей за 6 месяцев 2019 года, по собственной оценке предприятия, составила 21</w:t>
      </w:r>
      <w:r w:rsidR="006A649E">
        <w:rPr>
          <w:sz w:val="24"/>
          <w:szCs w:val="24"/>
          <w:lang w:eastAsia="ru-RU"/>
        </w:rPr>
        <w:t>,0</w:t>
      </w:r>
      <w:r w:rsidRPr="0081226A">
        <w:rPr>
          <w:sz w:val="24"/>
          <w:szCs w:val="24"/>
          <w:lang w:eastAsia="ru-RU"/>
        </w:rPr>
        <w:t>%. Самой популярной LADA по итогам продаж с января по июнь 2019 года стала LADA Granta.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>Помимо АО «АВТОВАЗ» в автомобилестроительный кластер входит значительное число организаций городского округа Тольятти, производящих автомобили, автокомпоненты, а также оказывающих автоуслуги. Среди них немалое значение имеет ЗАО «GM-АВТОВАЗ», которое за истекший период текущего года снизило объемы производства и реализации продукции в сравнении с прошлым годом. Кр</w:t>
      </w:r>
      <w:r w:rsidR="00F77DAD">
        <w:rPr>
          <w:sz w:val="24"/>
          <w:szCs w:val="24"/>
          <w:lang w:eastAsia="ru-RU"/>
        </w:rPr>
        <w:t>оме этого, в отрасль входят АО «Супер-Авто Холдинг», ООО «Лада Спорт», АО «ПСА ВИС-АВТО»</w:t>
      </w:r>
      <w:r w:rsidRPr="0081226A">
        <w:rPr>
          <w:sz w:val="24"/>
          <w:szCs w:val="24"/>
          <w:lang w:eastAsia="ru-RU"/>
        </w:rPr>
        <w:t xml:space="preserve">, ООО </w:t>
      </w:r>
      <w:r w:rsidR="00F77DAD">
        <w:rPr>
          <w:sz w:val="24"/>
          <w:szCs w:val="24"/>
          <w:lang w:eastAsia="ru-RU"/>
        </w:rPr>
        <w:t>«Аутолив»</w:t>
      </w:r>
      <w:r w:rsidRPr="0081226A">
        <w:rPr>
          <w:sz w:val="24"/>
          <w:szCs w:val="24"/>
          <w:lang w:eastAsia="ru-RU"/>
        </w:rPr>
        <w:t xml:space="preserve">, АО </w:t>
      </w:r>
      <w:r w:rsidR="00F77DAD">
        <w:rPr>
          <w:sz w:val="24"/>
          <w:szCs w:val="24"/>
          <w:lang w:eastAsia="ru-RU"/>
        </w:rPr>
        <w:t>«Тольяттинский завод технологического оснащения»</w:t>
      </w:r>
      <w:r w:rsidRPr="0081226A">
        <w:rPr>
          <w:sz w:val="24"/>
          <w:szCs w:val="24"/>
          <w:lang w:eastAsia="ru-RU"/>
        </w:rPr>
        <w:t xml:space="preserve">, ООО </w:t>
      </w:r>
      <w:r w:rsidR="00F77DAD">
        <w:rPr>
          <w:sz w:val="24"/>
          <w:szCs w:val="24"/>
          <w:lang w:eastAsia="ru-RU"/>
        </w:rPr>
        <w:t>«</w:t>
      </w:r>
      <w:r w:rsidRPr="0081226A">
        <w:rPr>
          <w:sz w:val="24"/>
          <w:szCs w:val="24"/>
          <w:lang w:eastAsia="ru-RU"/>
        </w:rPr>
        <w:t>Д</w:t>
      </w:r>
      <w:r w:rsidR="00F77DAD">
        <w:rPr>
          <w:sz w:val="24"/>
          <w:szCs w:val="24"/>
          <w:lang w:eastAsia="ru-RU"/>
        </w:rPr>
        <w:t>етальстройконструкция»</w:t>
      </w:r>
      <w:r w:rsidRPr="0081226A">
        <w:rPr>
          <w:sz w:val="24"/>
          <w:szCs w:val="24"/>
          <w:lang w:eastAsia="ru-RU"/>
        </w:rPr>
        <w:t xml:space="preserve">, АО </w:t>
      </w:r>
      <w:r w:rsidR="00F77DAD">
        <w:rPr>
          <w:sz w:val="24"/>
          <w:szCs w:val="24"/>
          <w:lang w:eastAsia="ru-RU"/>
        </w:rPr>
        <w:t>«</w:t>
      </w:r>
      <w:r w:rsidRPr="0081226A">
        <w:rPr>
          <w:sz w:val="24"/>
          <w:szCs w:val="24"/>
          <w:lang w:eastAsia="ru-RU"/>
        </w:rPr>
        <w:t>В</w:t>
      </w:r>
      <w:r w:rsidR="00F77DAD">
        <w:rPr>
          <w:sz w:val="24"/>
          <w:szCs w:val="24"/>
          <w:lang w:eastAsia="ru-RU"/>
        </w:rPr>
        <w:t>азинтерсервис»</w:t>
      </w:r>
      <w:r w:rsidRPr="0081226A">
        <w:rPr>
          <w:sz w:val="24"/>
          <w:szCs w:val="24"/>
          <w:lang w:eastAsia="ru-RU"/>
        </w:rPr>
        <w:t xml:space="preserve"> и другие.</w:t>
      </w:r>
    </w:p>
    <w:p w:rsidR="00F77DAD" w:rsidRPr="00F77DAD" w:rsidRDefault="00F77DAD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F77DAD">
        <w:rPr>
          <w:sz w:val="24"/>
          <w:szCs w:val="24"/>
          <w:lang w:eastAsia="ru-RU"/>
        </w:rPr>
        <w:t xml:space="preserve">До конца 2019 года ожидается сохранение тенденции 1 полугодия текущего года. </w:t>
      </w:r>
      <w:r w:rsidRPr="00F77DAD">
        <w:rPr>
          <w:sz w:val="24"/>
          <w:szCs w:val="24"/>
          <w:lang w:eastAsia="ru-RU"/>
        </w:rPr>
        <w:lastRenderedPageBreak/>
        <w:t xml:space="preserve">Производство легковых автомобилей в городском округе Тольятти оценивается на уровне 2018 года - 407,0 тыс. штук (в 2018 году произведено 407,7 тыс. штук), объем отгруженной автомобильной продукции – на сумму 363 659,5 </w:t>
      </w:r>
      <w:r w:rsidR="006F6BDD">
        <w:rPr>
          <w:sz w:val="24"/>
          <w:szCs w:val="24"/>
          <w:lang w:eastAsia="ru-RU"/>
        </w:rPr>
        <w:t xml:space="preserve">млн. рублей </w:t>
      </w:r>
      <w:r w:rsidRPr="00F77DAD">
        <w:rPr>
          <w:sz w:val="24"/>
          <w:szCs w:val="24"/>
          <w:lang w:eastAsia="ru-RU"/>
        </w:rPr>
        <w:t>(на 5,8% больше 2018 года).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>Химическая отрасль является одной из лидирующих отраслей промышленности городского округа Тольятти. Индекс производства по виду деятельности «</w:t>
      </w:r>
      <w:r w:rsidR="00742686">
        <w:rPr>
          <w:sz w:val="24"/>
          <w:szCs w:val="24"/>
          <w:lang w:eastAsia="ru-RU"/>
        </w:rPr>
        <w:t>П</w:t>
      </w:r>
      <w:r w:rsidRPr="0081226A">
        <w:rPr>
          <w:sz w:val="24"/>
          <w:szCs w:val="24"/>
          <w:lang w:eastAsia="ru-RU"/>
        </w:rPr>
        <w:t>роизводство химических веществ и химических продуктов» в 1 полугодии 2019 года составил 99,5%. Снижено производство пластмасс в первичных формах (на 10,5% до 128,7 тыс.</w:t>
      </w:r>
      <w:r w:rsidR="0068738C">
        <w:rPr>
          <w:sz w:val="24"/>
          <w:szCs w:val="24"/>
          <w:lang w:eastAsia="ru-RU"/>
        </w:rPr>
        <w:t xml:space="preserve"> </w:t>
      </w:r>
      <w:r w:rsidRPr="0081226A">
        <w:rPr>
          <w:sz w:val="24"/>
          <w:szCs w:val="24"/>
          <w:lang w:eastAsia="ru-RU"/>
        </w:rPr>
        <w:t>тонн), полиамидов в первичных формах – на 7,4% до 78,3 тыс.</w:t>
      </w:r>
      <w:r w:rsidR="0068738C">
        <w:rPr>
          <w:sz w:val="24"/>
          <w:szCs w:val="24"/>
          <w:lang w:eastAsia="ru-RU"/>
        </w:rPr>
        <w:t xml:space="preserve"> </w:t>
      </w:r>
      <w:r w:rsidRPr="0081226A">
        <w:rPr>
          <w:sz w:val="24"/>
          <w:szCs w:val="24"/>
          <w:lang w:eastAsia="ru-RU"/>
        </w:rPr>
        <w:t>тонн. При этом выросло производство аммиака – на 2,2% до 2035,9 тыс.</w:t>
      </w:r>
      <w:r w:rsidR="0068738C">
        <w:rPr>
          <w:sz w:val="24"/>
          <w:szCs w:val="24"/>
          <w:lang w:eastAsia="ru-RU"/>
        </w:rPr>
        <w:t xml:space="preserve"> </w:t>
      </w:r>
      <w:r w:rsidRPr="0081226A">
        <w:rPr>
          <w:sz w:val="24"/>
          <w:szCs w:val="24"/>
          <w:lang w:eastAsia="ru-RU"/>
        </w:rPr>
        <w:t xml:space="preserve">тонн, каучуков синтетических – на 5,3%, удобрений минеральных или химических – на 0,3%. 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>Объем отгруженной химической продукции в 1 полугодии 2019 года вырос на 6,3% до 66 535,7 млн.</w:t>
      </w:r>
      <w:r w:rsidR="006F6BDD">
        <w:rPr>
          <w:sz w:val="24"/>
          <w:szCs w:val="24"/>
          <w:lang w:eastAsia="ru-RU"/>
        </w:rPr>
        <w:t xml:space="preserve"> </w:t>
      </w:r>
      <w:r w:rsidRPr="0081226A">
        <w:rPr>
          <w:sz w:val="24"/>
          <w:szCs w:val="24"/>
          <w:lang w:eastAsia="ru-RU"/>
        </w:rPr>
        <w:t xml:space="preserve">рублей к высокой базе прошлого года. В 2018 году высокий курс </w:t>
      </w:r>
      <w:r w:rsidR="00ED63FC" w:rsidRPr="0081226A">
        <w:rPr>
          <w:sz w:val="24"/>
          <w:szCs w:val="24"/>
          <w:lang w:eastAsia="ru-RU"/>
        </w:rPr>
        <w:t>доллара позволил</w:t>
      </w:r>
      <w:r w:rsidRPr="0081226A">
        <w:rPr>
          <w:sz w:val="24"/>
          <w:szCs w:val="24"/>
          <w:lang w:eastAsia="ru-RU"/>
        </w:rPr>
        <w:t xml:space="preserve"> существенно увеличить объемы вырученных средств от реализации экспортно-ориентированной химической продукции (на 26,1% </w:t>
      </w:r>
      <w:r w:rsidR="006F6BDD">
        <w:rPr>
          <w:sz w:val="24"/>
          <w:szCs w:val="24"/>
          <w:lang w:eastAsia="ru-RU"/>
        </w:rPr>
        <w:t xml:space="preserve">к 2017 году </w:t>
      </w:r>
      <w:r w:rsidRPr="0081226A">
        <w:rPr>
          <w:sz w:val="24"/>
          <w:szCs w:val="24"/>
          <w:lang w:eastAsia="ru-RU"/>
        </w:rPr>
        <w:t>до 129 633,8 млн. руб</w:t>
      </w:r>
      <w:r w:rsidR="006F6BDD">
        <w:rPr>
          <w:sz w:val="24"/>
          <w:szCs w:val="24"/>
          <w:lang w:eastAsia="ru-RU"/>
        </w:rPr>
        <w:t>лей</w:t>
      </w:r>
      <w:r w:rsidRPr="0081226A">
        <w:rPr>
          <w:sz w:val="24"/>
          <w:szCs w:val="24"/>
          <w:lang w:eastAsia="ru-RU"/>
        </w:rPr>
        <w:t>).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 xml:space="preserve">С учетом роста производства химической продукции </w:t>
      </w:r>
      <w:r w:rsidR="006F6BDD">
        <w:rPr>
          <w:sz w:val="24"/>
          <w:szCs w:val="24"/>
          <w:lang w:eastAsia="ru-RU"/>
        </w:rPr>
        <w:t>во втором полугодии текущего года</w:t>
      </w:r>
      <w:r w:rsidRPr="0081226A">
        <w:rPr>
          <w:sz w:val="24"/>
          <w:szCs w:val="24"/>
          <w:lang w:eastAsia="ru-RU"/>
        </w:rPr>
        <w:t xml:space="preserve"> (индекс </w:t>
      </w:r>
      <w:r w:rsidR="00F77DAD">
        <w:rPr>
          <w:sz w:val="24"/>
          <w:szCs w:val="24"/>
          <w:lang w:eastAsia="ru-RU"/>
        </w:rPr>
        <w:t xml:space="preserve">химического </w:t>
      </w:r>
      <w:r w:rsidRPr="0081226A">
        <w:rPr>
          <w:sz w:val="24"/>
          <w:szCs w:val="24"/>
          <w:lang w:eastAsia="ru-RU"/>
        </w:rPr>
        <w:t xml:space="preserve">производства в январе - </w:t>
      </w:r>
      <w:r w:rsidR="00F77DAD">
        <w:rPr>
          <w:sz w:val="24"/>
          <w:szCs w:val="24"/>
          <w:lang w:eastAsia="ru-RU"/>
        </w:rPr>
        <w:t>августе</w:t>
      </w:r>
      <w:r w:rsidRPr="0081226A">
        <w:rPr>
          <w:sz w:val="24"/>
          <w:szCs w:val="24"/>
          <w:lang w:eastAsia="ru-RU"/>
        </w:rPr>
        <w:t xml:space="preserve"> 2019 </w:t>
      </w:r>
      <w:r w:rsidR="00F77DAD">
        <w:rPr>
          <w:sz w:val="24"/>
          <w:szCs w:val="24"/>
          <w:lang w:eastAsia="ru-RU"/>
        </w:rPr>
        <w:t>года составил 101,9</w:t>
      </w:r>
      <w:r w:rsidRPr="0081226A">
        <w:rPr>
          <w:sz w:val="24"/>
          <w:szCs w:val="24"/>
          <w:lang w:eastAsia="ru-RU"/>
        </w:rPr>
        <w:t>%), а также на основании собственных прогнозов крупнейших химических предприятий города,  по итогам  2019 года индекс химического производства оценочно составит 10</w:t>
      </w:r>
      <w:r w:rsidR="006A649E">
        <w:rPr>
          <w:sz w:val="24"/>
          <w:szCs w:val="24"/>
          <w:lang w:eastAsia="ru-RU"/>
        </w:rPr>
        <w:t>2,0</w:t>
      </w:r>
      <w:r w:rsidRPr="0081226A">
        <w:rPr>
          <w:sz w:val="24"/>
          <w:szCs w:val="24"/>
          <w:lang w:eastAsia="ru-RU"/>
        </w:rPr>
        <w:t xml:space="preserve">%, объем отгруженной химической продукции увеличится на </w:t>
      </w:r>
      <w:r w:rsidR="006A649E">
        <w:rPr>
          <w:sz w:val="24"/>
          <w:szCs w:val="24"/>
          <w:lang w:eastAsia="ru-RU"/>
        </w:rPr>
        <w:t>8,0</w:t>
      </w:r>
      <w:r w:rsidRPr="0081226A">
        <w:rPr>
          <w:sz w:val="24"/>
          <w:szCs w:val="24"/>
          <w:lang w:eastAsia="ru-RU"/>
        </w:rPr>
        <w:t xml:space="preserve">%  до </w:t>
      </w:r>
      <w:r w:rsidR="006A649E">
        <w:rPr>
          <w:sz w:val="24"/>
          <w:szCs w:val="24"/>
          <w:lang w:eastAsia="ru-RU"/>
        </w:rPr>
        <w:t>140 004,5</w:t>
      </w:r>
      <w:r w:rsidRPr="0081226A">
        <w:rPr>
          <w:sz w:val="24"/>
          <w:szCs w:val="24"/>
          <w:lang w:eastAsia="ru-RU"/>
        </w:rPr>
        <w:t xml:space="preserve"> млн.</w:t>
      </w:r>
      <w:r w:rsidR="0068738C">
        <w:rPr>
          <w:sz w:val="24"/>
          <w:szCs w:val="24"/>
          <w:lang w:eastAsia="ru-RU"/>
        </w:rPr>
        <w:t xml:space="preserve"> </w:t>
      </w:r>
      <w:r w:rsidRPr="0081226A">
        <w:rPr>
          <w:sz w:val="24"/>
          <w:szCs w:val="24"/>
          <w:lang w:eastAsia="ru-RU"/>
        </w:rPr>
        <w:t xml:space="preserve">рублей. 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>По итогам 1 полугодия 2019 года индекс производства пищевых продуктов составил 112,8%. Увеличилось производство колбасных изделий – на 19,3%, ма</w:t>
      </w:r>
      <w:r w:rsidR="006A649E">
        <w:rPr>
          <w:sz w:val="24"/>
          <w:szCs w:val="24"/>
          <w:lang w:eastAsia="ru-RU"/>
        </w:rPr>
        <w:t>с</w:t>
      </w:r>
      <w:r w:rsidRPr="0081226A">
        <w:rPr>
          <w:sz w:val="24"/>
          <w:szCs w:val="24"/>
          <w:lang w:eastAsia="ru-RU"/>
        </w:rPr>
        <w:t>ла сливочного – на 22,2%, молока – на 3,3%, крупы – на 52,6%, продукт</w:t>
      </w:r>
      <w:r w:rsidR="006F6BDD">
        <w:rPr>
          <w:sz w:val="24"/>
          <w:szCs w:val="24"/>
          <w:lang w:eastAsia="ru-RU"/>
        </w:rPr>
        <w:t>ов</w:t>
      </w:r>
      <w:r w:rsidRPr="0081226A">
        <w:rPr>
          <w:sz w:val="24"/>
          <w:szCs w:val="24"/>
          <w:lang w:eastAsia="ru-RU"/>
        </w:rPr>
        <w:t xml:space="preserve"> из мяса и птицы – на 53,3%, овощей и грибов – в 3,3 раза. При этом снижено производство кондитерских изделий – на 18,4%, полуфабрикатов мясных – на 4,8%, продукции из рыбы – на 30</w:t>
      </w:r>
      <w:r w:rsidR="00D0645A">
        <w:rPr>
          <w:sz w:val="24"/>
          <w:szCs w:val="24"/>
          <w:lang w:eastAsia="ru-RU"/>
        </w:rPr>
        <w:t>,0</w:t>
      </w:r>
      <w:r w:rsidRPr="0081226A">
        <w:rPr>
          <w:sz w:val="24"/>
          <w:szCs w:val="24"/>
          <w:lang w:eastAsia="ru-RU"/>
        </w:rPr>
        <w:t>%, кисломолочной продукции – на 2,2%, хлеба и хлебобулочных изделий – на 8,3%.</w:t>
      </w:r>
    </w:p>
    <w:p w:rsidR="009B09FE" w:rsidRDefault="006A649E" w:rsidP="00742686">
      <w:pPr>
        <w:pStyle w:val="aff0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этом, о</w:t>
      </w:r>
      <w:r w:rsidR="0081226A" w:rsidRPr="0081226A">
        <w:rPr>
          <w:sz w:val="24"/>
          <w:szCs w:val="24"/>
          <w:lang w:eastAsia="ru-RU"/>
        </w:rPr>
        <w:t>бъем отгруженной пищевой продукции снизился в 1 полугодии 2019 года на 46,3% к 1 полугодию прошлого года и составил 2 950,0 млн. рублей</w:t>
      </w:r>
      <w:r w:rsidR="009B09FE">
        <w:rPr>
          <w:sz w:val="24"/>
          <w:szCs w:val="24"/>
          <w:lang w:eastAsia="ru-RU"/>
        </w:rPr>
        <w:t xml:space="preserve">, </w:t>
      </w:r>
      <w:r w:rsidR="009B09FE" w:rsidRPr="00BD6897">
        <w:rPr>
          <w:sz w:val="24"/>
          <w:szCs w:val="24"/>
          <w:lang w:eastAsia="ru-RU"/>
        </w:rPr>
        <w:t xml:space="preserve">в том числе за счет </w:t>
      </w:r>
      <w:r w:rsidR="00D17E21" w:rsidRPr="00BD6897">
        <w:rPr>
          <w:sz w:val="24"/>
          <w:szCs w:val="24"/>
          <w:lang w:eastAsia="ru-RU"/>
        </w:rPr>
        <w:t>прекращения деятельности в середине 2018 года одного из</w:t>
      </w:r>
      <w:r w:rsidR="009B09FE" w:rsidRPr="00BD6897">
        <w:rPr>
          <w:sz w:val="24"/>
          <w:szCs w:val="24"/>
          <w:lang w:eastAsia="ru-RU"/>
        </w:rPr>
        <w:t xml:space="preserve"> производител</w:t>
      </w:r>
      <w:r w:rsidR="00D17E21" w:rsidRPr="00BD6897">
        <w:rPr>
          <w:sz w:val="24"/>
          <w:szCs w:val="24"/>
          <w:lang w:eastAsia="ru-RU"/>
        </w:rPr>
        <w:t>ей</w:t>
      </w:r>
      <w:r w:rsidR="009B09FE" w:rsidRPr="00BD6897">
        <w:rPr>
          <w:sz w:val="24"/>
          <w:szCs w:val="24"/>
          <w:lang w:eastAsia="ru-RU"/>
        </w:rPr>
        <w:t xml:space="preserve"> </w:t>
      </w:r>
      <w:r w:rsidR="00D17E21" w:rsidRPr="00BD6897">
        <w:rPr>
          <w:sz w:val="24"/>
          <w:szCs w:val="24"/>
          <w:lang w:eastAsia="ru-RU"/>
        </w:rPr>
        <w:t xml:space="preserve">продукции из </w:t>
      </w:r>
      <w:r w:rsidR="009B09FE" w:rsidRPr="00BD6897">
        <w:rPr>
          <w:sz w:val="24"/>
          <w:szCs w:val="24"/>
          <w:lang w:eastAsia="ru-RU"/>
        </w:rPr>
        <w:t>мяса</w:t>
      </w:r>
      <w:r w:rsidR="00D17E21" w:rsidRPr="00BD6897">
        <w:rPr>
          <w:sz w:val="24"/>
          <w:szCs w:val="24"/>
          <w:lang w:eastAsia="ru-RU"/>
        </w:rPr>
        <w:t xml:space="preserve"> и птицы</w:t>
      </w:r>
      <w:r w:rsidR="009B09FE" w:rsidRPr="00BD6897">
        <w:rPr>
          <w:sz w:val="24"/>
          <w:szCs w:val="24"/>
          <w:lang w:eastAsia="ru-RU"/>
        </w:rPr>
        <w:t xml:space="preserve"> – ООО «Бизнес».</w:t>
      </w:r>
      <w:r w:rsidR="009B09FE">
        <w:rPr>
          <w:sz w:val="24"/>
          <w:szCs w:val="24"/>
          <w:lang w:eastAsia="ru-RU"/>
        </w:rPr>
        <w:t xml:space="preserve"> 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 xml:space="preserve">С учетом тенденции </w:t>
      </w:r>
      <w:r w:rsidR="002A789C">
        <w:rPr>
          <w:sz w:val="24"/>
          <w:szCs w:val="24"/>
          <w:lang w:eastAsia="ru-RU"/>
        </w:rPr>
        <w:t>замедления</w:t>
      </w:r>
      <w:r w:rsidRPr="0081226A">
        <w:rPr>
          <w:sz w:val="24"/>
          <w:szCs w:val="24"/>
          <w:lang w:eastAsia="ru-RU"/>
        </w:rPr>
        <w:t xml:space="preserve"> </w:t>
      </w:r>
      <w:r w:rsidR="006A649E">
        <w:rPr>
          <w:sz w:val="24"/>
          <w:szCs w:val="24"/>
          <w:lang w:eastAsia="ru-RU"/>
        </w:rPr>
        <w:t xml:space="preserve">темпов роста </w:t>
      </w:r>
      <w:r w:rsidRPr="0081226A">
        <w:rPr>
          <w:sz w:val="24"/>
          <w:szCs w:val="24"/>
          <w:lang w:eastAsia="ru-RU"/>
        </w:rPr>
        <w:t xml:space="preserve">производства пищевых продуктов во втором полугодии 2019 года к концу 2019 года индекс производства пищевой продукции </w:t>
      </w:r>
      <w:r w:rsidR="006A649E">
        <w:rPr>
          <w:sz w:val="24"/>
          <w:szCs w:val="24"/>
          <w:lang w:eastAsia="ru-RU"/>
        </w:rPr>
        <w:t>составит 108,0</w:t>
      </w:r>
      <w:r w:rsidRPr="0081226A">
        <w:rPr>
          <w:sz w:val="24"/>
          <w:szCs w:val="24"/>
          <w:lang w:eastAsia="ru-RU"/>
        </w:rPr>
        <w:t xml:space="preserve">%, объем отгруженной пищевой продукции в городе </w:t>
      </w:r>
      <w:r w:rsidR="006A649E">
        <w:rPr>
          <w:sz w:val="24"/>
          <w:szCs w:val="24"/>
          <w:lang w:eastAsia="ru-RU"/>
        </w:rPr>
        <w:t>снизится</w:t>
      </w:r>
      <w:r w:rsidRPr="0081226A">
        <w:rPr>
          <w:sz w:val="24"/>
          <w:szCs w:val="24"/>
          <w:lang w:eastAsia="ru-RU"/>
        </w:rPr>
        <w:t xml:space="preserve"> на </w:t>
      </w:r>
      <w:r w:rsidR="006A649E">
        <w:rPr>
          <w:sz w:val="24"/>
          <w:szCs w:val="24"/>
          <w:lang w:eastAsia="ru-RU"/>
        </w:rPr>
        <w:t>32,2</w:t>
      </w:r>
      <w:r w:rsidRPr="0081226A">
        <w:rPr>
          <w:sz w:val="24"/>
          <w:szCs w:val="24"/>
          <w:lang w:eastAsia="ru-RU"/>
        </w:rPr>
        <w:t xml:space="preserve">% к 2018 году и составит </w:t>
      </w:r>
      <w:r w:rsidR="006A649E">
        <w:rPr>
          <w:sz w:val="24"/>
          <w:szCs w:val="24"/>
          <w:lang w:eastAsia="ru-RU"/>
        </w:rPr>
        <w:t>5 379,8</w:t>
      </w:r>
      <w:r w:rsidRPr="0081226A">
        <w:rPr>
          <w:sz w:val="24"/>
          <w:szCs w:val="24"/>
          <w:lang w:eastAsia="ru-RU"/>
        </w:rPr>
        <w:t xml:space="preserve"> млн. рублей.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 xml:space="preserve">Позитивный вклад в промышленность (рост индекса </w:t>
      </w:r>
      <w:r w:rsidR="002A789C">
        <w:rPr>
          <w:sz w:val="24"/>
          <w:szCs w:val="24"/>
          <w:lang w:eastAsia="ru-RU"/>
        </w:rPr>
        <w:t xml:space="preserve">промышленного </w:t>
      </w:r>
      <w:r w:rsidRPr="0081226A">
        <w:rPr>
          <w:sz w:val="24"/>
          <w:szCs w:val="24"/>
          <w:lang w:eastAsia="ru-RU"/>
        </w:rPr>
        <w:t xml:space="preserve">производства) в январе-июне 2019 года внесли </w:t>
      </w:r>
      <w:r w:rsidR="006A649E">
        <w:rPr>
          <w:sz w:val="24"/>
          <w:szCs w:val="24"/>
          <w:lang w:eastAsia="ru-RU"/>
        </w:rPr>
        <w:t xml:space="preserve">также </w:t>
      </w:r>
      <w:r w:rsidRPr="0081226A">
        <w:rPr>
          <w:sz w:val="24"/>
          <w:szCs w:val="24"/>
          <w:lang w:eastAsia="ru-RU"/>
        </w:rPr>
        <w:t xml:space="preserve">следующие виды обрабатывающего сектора: 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>- производство одежды увеличилось в 12 раз. Увеличено производство спецодежды (на 38,1%). Объем отгруженной продукции по данному виду деятельности вырос на 98,4%;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 xml:space="preserve">- производство прочих транспортных средств и оборудования </w:t>
      </w:r>
      <w:r w:rsidR="002A789C">
        <w:rPr>
          <w:sz w:val="24"/>
          <w:szCs w:val="24"/>
          <w:lang w:eastAsia="ru-RU"/>
        </w:rPr>
        <w:t>увеличилось</w:t>
      </w:r>
      <w:r w:rsidRPr="0081226A">
        <w:rPr>
          <w:sz w:val="24"/>
          <w:szCs w:val="24"/>
          <w:lang w:eastAsia="ru-RU"/>
        </w:rPr>
        <w:t xml:space="preserve"> на 78,2%. Увеличено производство колясок инвалидных на ООО </w:t>
      </w:r>
      <w:r w:rsidR="0068738C">
        <w:rPr>
          <w:sz w:val="24"/>
          <w:szCs w:val="24"/>
          <w:lang w:eastAsia="ru-RU"/>
        </w:rPr>
        <w:t>«</w:t>
      </w:r>
      <w:r w:rsidRPr="0081226A">
        <w:rPr>
          <w:sz w:val="24"/>
          <w:szCs w:val="24"/>
          <w:lang w:eastAsia="ru-RU"/>
        </w:rPr>
        <w:t>ОТТО БОКК МОБИЛИТИ</w:t>
      </w:r>
      <w:r w:rsidR="0068738C">
        <w:rPr>
          <w:sz w:val="24"/>
          <w:szCs w:val="24"/>
          <w:lang w:eastAsia="ru-RU"/>
        </w:rPr>
        <w:t>»</w:t>
      </w:r>
      <w:r w:rsidRPr="0081226A">
        <w:rPr>
          <w:sz w:val="24"/>
          <w:szCs w:val="24"/>
          <w:lang w:eastAsia="ru-RU"/>
        </w:rPr>
        <w:t>. Объем отгруженной продукции по данному виду деятельности увеличился в 2,1 раза;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>- ремонт и монтаж машин и оборудования – на 36,1%. Объем отгруженной продукции по данному виду деятельности увеличился на 86</w:t>
      </w:r>
      <w:r w:rsidR="00D0645A">
        <w:rPr>
          <w:sz w:val="24"/>
          <w:szCs w:val="24"/>
          <w:lang w:eastAsia="ru-RU"/>
        </w:rPr>
        <w:t>,0</w:t>
      </w:r>
      <w:r w:rsidRPr="0081226A">
        <w:rPr>
          <w:sz w:val="24"/>
          <w:szCs w:val="24"/>
          <w:lang w:eastAsia="ru-RU"/>
        </w:rPr>
        <w:t>% до 1 117,3 млн.</w:t>
      </w:r>
      <w:r w:rsidR="0068738C">
        <w:rPr>
          <w:sz w:val="24"/>
          <w:szCs w:val="24"/>
          <w:lang w:eastAsia="ru-RU"/>
        </w:rPr>
        <w:t xml:space="preserve"> </w:t>
      </w:r>
      <w:r w:rsidRPr="0081226A">
        <w:rPr>
          <w:sz w:val="24"/>
          <w:szCs w:val="24"/>
          <w:lang w:eastAsia="ru-RU"/>
        </w:rPr>
        <w:t>рублей;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>- производство готовых металлических изделий – на 24,8%. Объем отгруженной продукции по данному виду деятельности увеличился на 29,2% до 1 163,7 млн.</w:t>
      </w:r>
      <w:r w:rsidR="0068738C">
        <w:rPr>
          <w:sz w:val="24"/>
          <w:szCs w:val="24"/>
          <w:lang w:eastAsia="ru-RU"/>
        </w:rPr>
        <w:t xml:space="preserve"> </w:t>
      </w:r>
      <w:r w:rsidRPr="0081226A">
        <w:rPr>
          <w:sz w:val="24"/>
          <w:szCs w:val="24"/>
          <w:lang w:eastAsia="ru-RU"/>
        </w:rPr>
        <w:t>рублей;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 xml:space="preserve">- деятельность полиграфическая и копирование носителей информации – на 7,8%, 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lastRenderedPageBreak/>
        <w:t>- производство резиновых и пластмассовых изделий – на 7,3%</w:t>
      </w:r>
      <w:r w:rsidR="002A789C">
        <w:rPr>
          <w:sz w:val="24"/>
          <w:szCs w:val="24"/>
          <w:lang w:eastAsia="ru-RU"/>
        </w:rPr>
        <w:t>.</w:t>
      </w:r>
      <w:r w:rsidRPr="0081226A">
        <w:rPr>
          <w:sz w:val="24"/>
          <w:szCs w:val="24"/>
          <w:lang w:eastAsia="ru-RU"/>
        </w:rPr>
        <w:t xml:space="preserve"> Увеличено производство труб, трубок и шлангов – на 57,7%, коробок, ящиков, корзин и аналогичных пластмассовых изделий </w:t>
      </w:r>
      <w:r w:rsidR="002A789C">
        <w:rPr>
          <w:sz w:val="24"/>
          <w:szCs w:val="24"/>
          <w:lang w:eastAsia="ru-RU"/>
        </w:rPr>
        <w:t xml:space="preserve">- </w:t>
      </w:r>
      <w:r w:rsidRPr="0081226A">
        <w:rPr>
          <w:sz w:val="24"/>
          <w:szCs w:val="24"/>
          <w:lang w:eastAsia="ru-RU"/>
        </w:rPr>
        <w:t>на 41,2%, фурнитуры для мебели, транспортных средств – на 13,5%. При этом объем отгруженной резиновой и пластмассовой продукции снизился на 6</w:t>
      </w:r>
      <w:r w:rsidR="002A789C">
        <w:rPr>
          <w:sz w:val="24"/>
          <w:szCs w:val="24"/>
          <w:lang w:eastAsia="ru-RU"/>
        </w:rPr>
        <w:t>,0</w:t>
      </w:r>
      <w:r w:rsidRPr="0081226A">
        <w:rPr>
          <w:sz w:val="24"/>
          <w:szCs w:val="24"/>
          <w:lang w:eastAsia="ru-RU"/>
        </w:rPr>
        <w:t>% до 2 404,6 млн. рублей;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>- производство металлургическое – на 2,8%. При этом снизилось производство стали на 32,5%. Объем отгруженной продукции по данному виду деятельности снизился на 14,8% до 379,4 млн.</w:t>
      </w:r>
      <w:r w:rsidR="0068738C">
        <w:rPr>
          <w:sz w:val="24"/>
          <w:szCs w:val="24"/>
          <w:lang w:eastAsia="ru-RU"/>
        </w:rPr>
        <w:t xml:space="preserve"> </w:t>
      </w:r>
      <w:r w:rsidRPr="0081226A">
        <w:rPr>
          <w:sz w:val="24"/>
          <w:szCs w:val="24"/>
          <w:lang w:eastAsia="ru-RU"/>
        </w:rPr>
        <w:t>рублей.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 xml:space="preserve">Снижение объемов промышленного производства (индекса </w:t>
      </w:r>
      <w:r w:rsidR="002A789C">
        <w:rPr>
          <w:sz w:val="24"/>
          <w:szCs w:val="24"/>
          <w:lang w:eastAsia="ru-RU"/>
        </w:rPr>
        <w:t xml:space="preserve">промышленного </w:t>
      </w:r>
      <w:r w:rsidRPr="0081226A">
        <w:rPr>
          <w:sz w:val="24"/>
          <w:szCs w:val="24"/>
          <w:lang w:eastAsia="ru-RU"/>
        </w:rPr>
        <w:t xml:space="preserve">производства) в отчетном периоде демонстрировали виды экономической деятельности: 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>- производство напитков - на 2,3%. Объем отгруженной продукции по данному виду деятельности снизился на 5,2% до 196,9 млн.</w:t>
      </w:r>
      <w:r w:rsidR="0068738C">
        <w:rPr>
          <w:sz w:val="24"/>
          <w:szCs w:val="24"/>
          <w:lang w:eastAsia="ru-RU"/>
        </w:rPr>
        <w:t xml:space="preserve"> </w:t>
      </w:r>
      <w:r w:rsidRPr="0081226A">
        <w:rPr>
          <w:sz w:val="24"/>
          <w:szCs w:val="24"/>
          <w:lang w:eastAsia="ru-RU"/>
        </w:rPr>
        <w:t>рублей;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 xml:space="preserve">- производство текстильных изделий </w:t>
      </w:r>
      <w:r w:rsidR="002A789C">
        <w:rPr>
          <w:sz w:val="24"/>
          <w:szCs w:val="24"/>
          <w:lang w:eastAsia="ru-RU"/>
        </w:rPr>
        <w:t>снижено</w:t>
      </w:r>
      <w:r w:rsidRPr="0081226A">
        <w:rPr>
          <w:sz w:val="24"/>
          <w:szCs w:val="24"/>
          <w:lang w:eastAsia="ru-RU"/>
        </w:rPr>
        <w:t xml:space="preserve"> на 4,4%. При этом производство трикотажного полотна выросло на 24,5%, объем отгрузки текстильных изделий вырос на 1,6% до 1 371,3 млн. рублей; 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>- производство прочей неметаллической минеральной продукции – на 52,5%. Снижено производство блоков силикатных – на 16,2%, конструкций и деталей инженерных сооружений сборных железобетонных – на 64,2%. При этом увеличено производство бетона – в 2,8 раза. Объем отгруженной продукции по данному виду деятельности увеличился на 86,2% до 799,5 млн.</w:t>
      </w:r>
      <w:r w:rsidR="00742686">
        <w:rPr>
          <w:sz w:val="24"/>
          <w:szCs w:val="24"/>
          <w:lang w:eastAsia="ru-RU"/>
        </w:rPr>
        <w:t xml:space="preserve"> </w:t>
      </w:r>
      <w:r w:rsidRPr="0081226A">
        <w:rPr>
          <w:sz w:val="24"/>
          <w:szCs w:val="24"/>
          <w:lang w:eastAsia="ru-RU"/>
        </w:rPr>
        <w:t>рублей;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>- производство электрического оборудования – на 17,8%</w:t>
      </w:r>
      <w:r w:rsidR="00742686">
        <w:rPr>
          <w:sz w:val="24"/>
          <w:szCs w:val="24"/>
          <w:lang w:eastAsia="ru-RU"/>
        </w:rPr>
        <w:t>. На 12,3</w:t>
      </w:r>
      <w:r w:rsidRPr="0081226A">
        <w:rPr>
          <w:sz w:val="24"/>
          <w:szCs w:val="24"/>
          <w:lang w:eastAsia="ru-RU"/>
        </w:rPr>
        <w:t>% снизилось производство трансформаторов электрических. Объем отгруженной продукции по данному виду деятельности остался на уровне 2018 года – 1 923,6 млн.</w:t>
      </w:r>
      <w:r w:rsidR="00742686">
        <w:rPr>
          <w:sz w:val="24"/>
          <w:szCs w:val="24"/>
          <w:lang w:eastAsia="ru-RU"/>
        </w:rPr>
        <w:t xml:space="preserve"> </w:t>
      </w:r>
      <w:r w:rsidRPr="0081226A">
        <w:rPr>
          <w:sz w:val="24"/>
          <w:szCs w:val="24"/>
          <w:lang w:eastAsia="ru-RU"/>
        </w:rPr>
        <w:t>рублей;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>- производство машин и оборудования, не включенных в другие группировки - на 82,8%, на 17,1% снижено производство вентиляторов. Объем отгруженной продукции по данному виду деятельности снизился на 10,2% до 897,1 млн.</w:t>
      </w:r>
      <w:r w:rsidR="00742686">
        <w:rPr>
          <w:sz w:val="24"/>
          <w:szCs w:val="24"/>
          <w:lang w:eastAsia="ru-RU"/>
        </w:rPr>
        <w:t xml:space="preserve"> </w:t>
      </w:r>
      <w:r w:rsidRPr="0081226A">
        <w:rPr>
          <w:sz w:val="24"/>
          <w:szCs w:val="24"/>
          <w:lang w:eastAsia="ru-RU"/>
        </w:rPr>
        <w:t>рублей;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>- производство прочих готовых изделий – на 48,4%. Объем отгруженной продукции по данному виду деятельности увеличился на 4,6% до 160,3 млн.</w:t>
      </w:r>
      <w:r w:rsidR="00742686">
        <w:rPr>
          <w:sz w:val="24"/>
          <w:szCs w:val="24"/>
          <w:lang w:eastAsia="ru-RU"/>
        </w:rPr>
        <w:t xml:space="preserve"> </w:t>
      </w:r>
      <w:r w:rsidRPr="0081226A">
        <w:rPr>
          <w:sz w:val="24"/>
          <w:szCs w:val="24"/>
          <w:lang w:eastAsia="ru-RU"/>
        </w:rPr>
        <w:t>рублей</w:t>
      </w:r>
      <w:r w:rsidR="002A789C">
        <w:rPr>
          <w:sz w:val="24"/>
          <w:szCs w:val="24"/>
          <w:lang w:eastAsia="ru-RU"/>
        </w:rPr>
        <w:t>.</w:t>
      </w:r>
    </w:p>
    <w:p w:rsidR="0081226A" w:rsidRPr="0081226A" w:rsidRDefault="0081226A" w:rsidP="00742686">
      <w:pPr>
        <w:pStyle w:val="aff0"/>
        <w:spacing w:line="276" w:lineRule="auto"/>
        <w:rPr>
          <w:sz w:val="24"/>
          <w:szCs w:val="24"/>
          <w:lang w:eastAsia="ru-RU"/>
        </w:rPr>
      </w:pPr>
      <w:r w:rsidRPr="0081226A">
        <w:rPr>
          <w:sz w:val="24"/>
          <w:szCs w:val="24"/>
          <w:lang w:eastAsia="ru-RU"/>
        </w:rPr>
        <w:t xml:space="preserve">По виду деятельности «Обеспечении электрической энергией, газом и паром, кондиционировании воздуха» (раздел D) </w:t>
      </w:r>
      <w:r w:rsidR="002A789C" w:rsidRPr="002A789C">
        <w:rPr>
          <w:sz w:val="24"/>
          <w:szCs w:val="24"/>
          <w:lang w:eastAsia="ru-RU"/>
        </w:rPr>
        <w:t>наблюдается отрицательная динамика</w:t>
      </w:r>
      <w:r w:rsidR="002A789C">
        <w:rPr>
          <w:sz w:val="24"/>
          <w:szCs w:val="24"/>
          <w:lang w:eastAsia="ru-RU"/>
        </w:rPr>
        <w:t>:</w:t>
      </w:r>
      <w:r w:rsidR="002A789C" w:rsidRPr="002A789C">
        <w:rPr>
          <w:sz w:val="24"/>
          <w:szCs w:val="24"/>
          <w:lang w:eastAsia="ru-RU"/>
        </w:rPr>
        <w:t xml:space="preserve"> в 1 полугодии 2019 года индекс производства составил 92,4%</w:t>
      </w:r>
      <w:r w:rsidR="002A789C">
        <w:rPr>
          <w:sz w:val="24"/>
          <w:szCs w:val="24"/>
          <w:lang w:eastAsia="ru-RU"/>
        </w:rPr>
        <w:t>,</w:t>
      </w:r>
      <w:r w:rsidR="002A789C" w:rsidRPr="002A789C">
        <w:rPr>
          <w:sz w:val="24"/>
          <w:szCs w:val="24"/>
          <w:lang w:eastAsia="ru-RU"/>
        </w:rPr>
        <w:t xml:space="preserve"> на 6,7%</w:t>
      </w:r>
      <w:r w:rsidR="002A789C">
        <w:rPr>
          <w:sz w:val="24"/>
          <w:szCs w:val="24"/>
          <w:lang w:eastAsia="ru-RU"/>
        </w:rPr>
        <w:t xml:space="preserve"> </w:t>
      </w:r>
      <w:r w:rsidR="002A789C" w:rsidRPr="002A789C">
        <w:rPr>
          <w:sz w:val="24"/>
          <w:szCs w:val="24"/>
          <w:lang w:eastAsia="ru-RU"/>
        </w:rPr>
        <w:t xml:space="preserve">снижено производство электроэнергии до 2412,6 гигаватт-час, на 8,1% - пара и горячей воды до 7804,9 </w:t>
      </w:r>
      <w:r w:rsidR="009B09FE">
        <w:rPr>
          <w:sz w:val="24"/>
          <w:szCs w:val="24"/>
          <w:lang w:eastAsia="ru-RU"/>
        </w:rPr>
        <w:t>т</w:t>
      </w:r>
      <w:r w:rsidR="002A789C" w:rsidRPr="002A789C">
        <w:rPr>
          <w:sz w:val="24"/>
          <w:szCs w:val="24"/>
          <w:lang w:eastAsia="ru-RU"/>
        </w:rPr>
        <w:t>ыс.</w:t>
      </w:r>
      <w:r w:rsidR="00742686">
        <w:rPr>
          <w:sz w:val="24"/>
          <w:szCs w:val="24"/>
          <w:lang w:eastAsia="ru-RU"/>
        </w:rPr>
        <w:t xml:space="preserve"> </w:t>
      </w:r>
      <w:r w:rsidR="002A789C" w:rsidRPr="002A789C">
        <w:rPr>
          <w:sz w:val="24"/>
          <w:szCs w:val="24"/>
          <w:lang w:eastAsia="ru-RU"/>
        </w:rPr>
        <w:t xml:space="preserve">гигакалорий. </w:t>
      </w:r>
      <w:r w:rsidRPr="0081226A">
        <w:rPr>
          <w:sz w:val="24"/>
          <w:szCs w:val="24"/>
          <w:lang w:eastAsia="ru-RU"/>
        </w:rPr>
        <w:t>Доля данного вида деятельности в общем объеме отгруженной промышленной продукции составила 4,</w:t>
      </w:r>
      <w:r w:rsidR="002A789C">
        <w:rPr>
          <w:sz w:val="24"/>
          <w:szCs w:val="24"/>
          <w:lang w:eastAsia="ru-RU"/>
        </w:rPr>
        <w:t>5</w:t>
      </w:r>
      <w:r w:rsidRPr="0081226A">
        <w:rPr>
          <w:sz w:val="24"/>
          <w:szCs w:val="24"/>
          <w:lang w:eastAsia="ru-RU"/>
        </w:rPr>
        <w:t>%.</w:t>
      </w:r>
    </w:p>
    <w:p w:rsidR="002F1CCE" w:rsidRPr="002A789C" w:rsidRDefault="0081226A" w:rsidP="00742686">
      <w:pPr>
        <w:pStyle w:val="aff0"/>
        <w:spacing w:line="276" w:lineRule="auto"/>
        <w:rPr>
          <w:sz w:val="24"/>
          <w:szCs w:val="24"/>
        </w:rPr>
      </w:pPr>
      <w:r w:rsidRPr="0081226A">
        <w:rPr>
          <w:sz w:val="24"/>
          <w:szCs w:val="24"/>
          <w:lang w:eastAsia="ru-RU"/>
        </w:rPr>
        <w:t>В 1 полугодии 2019 года продолжился значительный рост производства и отгрузки по виду деятельности «Водоснабжение, водоотведении, организации сбора и утилизации отходов, деятельности по ликвидации загрязнений» (раздел Е)  (индекс производства – 185,6%, объем отгрузки – 8 572,6 млн.</w:t>
      </w:r>
      <w:r w:rsidR="00742686">
        <w:rPr>
          <w:sz w:val="24"/>
          <w:szCs w:val="24"/>
          <w:lang w:eastAsia="ru-RU"/>
        </w:rPr>
        <w:t xml:space="preserve"> </w:t>
      </w:r>
      <w:r w:rsidRPr="0081226A">
        <w:rPr>
          <w:sz w:val="24"/>
          <w:szCs w:val="24"/>
          <w:lang w:eastAsia="ru-RU"/>
        </w:rPr>
        <w:t xml:space="preserve">рублей, что на 95,5% больше </w:t>
      </w:r>
      <w:r w:rsidR="002A789C">
        <w:rPr>
          <w:sz w:val="24"/>
          <w:szCs w:val="24"/>
          <w:lang w:eastAsia="ru-RU"/>
        </w:rPr>
        <w:t xml:space="preserve">1 полугодия </w:t>
      </w:r>
      <w:r w:rsidRPr="0081226A">
        <w:rPr>
          <w:sz w:val="24"/>
          <w:szCs w:val="24"/>
          <w:lang w:eastAsia="ru-RU"/>
        </w:rPr>
        <w:t xml:space="preserve">2018 года) за счет сбора, обработки и утилизации отходов, обработка вторичного сырья (рост в 2,3 раза). </w:t>
      </w:r>
    </w:p>
    <w:p w:rsidR="0081226A" w:rsidRPr="0081226A" w:rsidRDefault="00DE79B4" w:rsidP="00742686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 учетом продолжения сложившейся тенденции до конца 2019 года </w:t>
      </w:r>
      <w:r w:rsidR="0081226A" w:rsidRPr="0081226A">
        <w:rPr>
          <w:sz w:val="24"/>
          <w:szCs w:val="24"/>
          <w:lang w:eastAsia="ru-RU"/>
        </w:rPr>
        <w:t xml:space="preserve">индекс промышленного производства в 2019 году по городу </w:t>
      </w:r>
      <w:r>
        <w:rPr>
          <w:sz w:val="24"/>
          <w:szCs w:val="24"/>
          <w:lang w:eastAsia="ru-RU"/>
        </w:rPr>
        <w:t>оценочно</w:t>
      </w:r>
      <w:r w:rsidR="0081226A" w:rsidRPr="0081226A">
        <w:rPr>
          <w:sz w:val="24"/>
          <w:szCs w:val="24"/>
          <w:lang w:eastAsia="ru-RU"/>
        </w:rPr>
        <w:t xml:space="preserve"> составит 100,6%, объем отгруженной промышленной продукции увеличится на 6</w:t>
      </w:r>
      <w:r>
        <w:rPr>
          <w:sz w:val="24"/>
          <w:szCs w:val="24"/>
          <w:lang w:eastAsia="ru-RU"/>
        </w:rPr>
        <w:t>,3</w:t>
      </w:r>
      <w:r w:rsidR="0081226A" w:rsidRPr="0081226A">
        <w:rPr>
          <w:sz w:val="24"/>
          <w:szCs w:val="24"/>
          <w:lang w:eastAsia="ru-RU"/>
        </w:rPr>
        <w:t xml:space="preserve">% к 2018 году и составит </w:t>
      </w:r>
      <w:r>
        <w:rPr>
          <w:sz w:val="24"/>
          <w:szCs w:val="24"/>
          <w:lang w:eastAsia="ru-RU"/>
        </w:rPr>
        <w:t>573 377,8</w:t>
      </w:r>
      <w:r w:rsidR="0081226A" w:rsidRPr="0081226A">
        <w:rPr>
          <w:sz w:val="24"/>
          <w:szCs w:val="24"/>
          <w:lang w:eastAsia="ru-RU"/>
        </w:rPr>
        <w:t xml:space="preserve"> млн. рублей. </w:t>
      </w:r>
    </w:p>
    <w:p w:rsidR="00742686" w:rsidRDefault="00742686" w:rsidP="00443EE9">
      <w:pPr>
        <w:pStyle w:val="38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F1CCE" w:rsidRDefault="002F1CCE" w:rsidP="00443EE9">
      <w:pPr>
        <w:pStyle w:val="38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66BD8">
        <w:rPr>
          <w:rFonts w:ascii="Times New Roman" w:hAnsi="Times New Roman" w:cs="Times New Roman"/>
          <w:sz w:val="24"/>
          <w:szCs w:val="24"/>
        </w:rPr>
        <w:lastRenderedPageBreak/>
        <w:t>Ожидаемое выполнение прогнозных показателей</w:t>
      </w:r>
      <w:r w:rsidR="00C45939" w:rsidRPr="00F66BD8">
        <w:rPr>
          <w:rFonts w:ascii="Times New Roman" w:hAnsi="Times New Roman" w:cs="Times New Roman"/>
          <w:sz w:val="24"/>
          <w:szCs w:val="24"/>
        </w:rPr>
        <w:t xml:space="preserve"> по разделу</w:t>
      </w:r>
      <w:r w:rsidR="00941F84" w:rsidRPr="00F66BD8">
        <w:rPr>
          <w:rFonts w:ascii="Times New Roman" w:hAnsi="Times New Roman" w:cs="Times New Roman"/>
          <w:sz w:val="24"/>
          <w:szCs w:val="24"/>
        </w:rPr>
        <w:t xml:space="preserve"> </w:t>
      </w:r>
      <w:r w:rsidR="00C45939" w:rsidRPr="00F66BD8">
        <w:rPr>
          <w:rFonts w:ascii="Times New Roman" w:hAnsi="Times New Roman" w:cs="Times New Roman"/>
          <w:sz w:val="24"/>
          <w:szCs w:val="24"/>
        </w:rPr>
        <w:t xml:space="preserve">                            «Промышленное производство»</w:t>
      </w:r>
      <w:r w:rsidRPr="00F66BD8">
        <w:rPr>
          <w:rFonts w:ascii="Times New Roman" w:hAnsi="Times New Roman" w:cs="Times New Roman"/>
          <w:sz w:val="24"/>
          <w:szCs w:val="24"/>
        </w:rPr>
        <w:t xml:space="preserve"> на 201</w:t>
      </w:r>
      <w:r w:rsidR="00F66BD8" w:rsidRPr="00F66BD8">
        <w:rPr>
          <w:rFonts w:ascii="Times New Roman" w:hAnsi="Times New Roman" w:cs="Times New Roman"/>
          <w:sz w:val="24"/>
          <w:szCs w:val="24"/>
        </w:rPr>
        <w:t>9</w:t>
      </w:r>
      <w:r w:rsidRPr="00F66BD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42686" w:rsidRPr="00F66BD8" w:rsidRDefault="00742686" w:rsidP="00443EE9">
      <w:pPr>
        <w:pStyle w:val="38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404"/>
        <w:gridCol w:w="1134"/>
        <w:gridCol w:w="1275"/>
        <w:gridCol w:w="1276"/>
        <w:gridCol w:w="1276"/>
        <w:gridCol w:w="1417"/>
      </w:tblGrid>
      <w:tr w:rsidR="00F66BD8" w:rsidRPr="005319C7" w:rsidTr="003935C4">
        <w:trPr>
          <w:tblHeader/>
        </w:trPr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BD8" w:rsidRPr="00F66BD8" w:rsidRDefault="00F66BD8" w:rsidP="00F66BD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B38" w:rsidRDefault="00F66BD8" w:rsidP="00443EE9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Единица измере</w:t>
            </w:r>
          </w:p>
          <w:p w:rsidR="00F66BD8" w:rsidRPr="00F66BD8" w:rsidRDefault="00F66BD8" w:rsidP="00443EE9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BD8" w:rsidRPr="00F66BD8" w:rsidRDefault="00F66BD8" w:rsidP="00F66BD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Прогноз на 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D8" w:rsidRPr="00F66BD8" w:rsidRDefault="00F66BD8" w:rsidP="00F66BD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2019 год (оценка)</w:t>
            </w:r>
          </w:p>
        </w:tc>
      </w:tr>
      <w:tr w:rsidR="00F66BD8" w:rsidRPr="005319C7" w:rsidTr="003935C4">
        <w:trPr>
          <w:tblHeader/>
        </w:trPr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BD8" w:rsidRPr="00F66BD8" w:rsidRDefault="00F66BD8" w:rsidP="00F66BD8">
            <w:pPr>
              <w:snapToGrid w:val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BD8" w:rsidRPr="00F66BD8" w:rsidRDefault="00F66BD8" w:rsidP="00F66B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BD8" w:rsidRPr="00F66BD8" w:rsidRDefault="00F66BD8" w:rsidP="00F66BD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1 вариант (консервативный)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BD8" w:rsidRPr="00F66BD8" w:rsidRDefault="00F66BD8" w:rsidP="00F66BD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2 вариант</w:t>
            </w:r>
          </w:p>
          <w:p w:rsidR="00F66BD8" w:rsidRPr="00F66BD8" w:rsidRDefault="00F66BD8" w:rsidP="00F66BD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(базовый)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BD8" w:rsidRDefault="00F66BD8" w:rsidP="00F66BD8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 вариант</w:t>
            </w:r>
          </w:p>
          <w:p w:rsidR="00F66BD8" w:rsidRPr="005319C7" w:rsidRDefault="00F66BD8" w:rsidP="00F66BD8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(целевой)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BD8" w:rsidRPr="005319C7" w:rsidRDefault="00F66BD8" w:rsidP="00F66BD8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66BD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BD8" w:rsidRPr="00F66BD8" w:rsidRDefault="00F66BD8" w:rsidP="00F66BD8">
            <w:pPr>
              <w:rPr>
                <w:b/>
                <w:sz w:val="24"/>
                <w:szCs w:val="24"/>
              </w:rPr>
            </w:pPr>
            <w:r w:rsidRPr="00F66BD8">
              <w:rPr>
                <w:b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(по разделам С,</w:t>
            </w:r>
            <w:r w:rsidR="009B09FE">
              <w:rPr>
                <w:b/>
                <w:sz w:val="24"/>
                <w:szCs w:val="24"/>
              </w:rPr>
              <w:t xml:space="preserve"> </w:t>
            </w:r>
            <w:r w:rsidRPr="00F66BD8">
              <w:rPr>
                <w:b/>
                <w:sz w:val="24"/>
                <w:szCs w:val="24"/>
                <w:lang w:val="en-US"/>
              </w:rPr>
              <w:t>D</w:t>
            </w:r>
            <w:r w:rsidRPr="00F66BD8">
              <w:rPr>
                <w:b/>
                <w:sz w:val="24"/>
                <w:szCs w:val="24"/>
              </w:rPr>
              <w:t xml:space="preserve">, </w:t>
            </w:r>
            <w:r w:rsidRPr="00F66BD8">
              <w:rPr>
                <w:b/>
                <w:sz w:val="24"/>
                <w:szCs w:val="24"/>
                <w:lang w:val="en-US"/>
              </w:rPr>
              <w:t>E</w:t>
            </w:r>
            <w:r w:rsidRPr="00F66BD8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D8" w:rsidRPr="00F66BD8" w:rsidRDefault="00F66BD8" w:rsidP="00F66BD8">
            <w:pPr>
              <w:jc w:val="center"/>
              <w:rPr>
                <w:b/>
                <w:sz w:val="24"/>
                <w:szCs w:val="24"/>
              </w:rPr>
            </w:pPr>
            <w:r w:rsidRPr="00F66BD8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D8" w:rsidRPr="00F66BD8" w:rsidRDefault="00211B38" w:rsidP="00F66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571 452,2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D8" w:rsidRPr="00F66BD8" w:rsidRDefault="00211B38" w:rsidP="00F66B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585 794,4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D8" w:rsidRPr="005319C7" w:rsidRDefault="00211B38" w:rsidP="00F66BD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11B38">
              <w:rPr>
                <w:b/>
                <w:sz w:val="24"/>
                <w:szCs w:val="24"/>
              </w:rPr>
              <w:t>594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1B38">
              <w:rPr>
                <w:b/>
                <w:sz w:val="24"/>
                <w:szCs w:val="24"/>
              </w:rPr>
              <w:t>508,1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BD8" w:rsidRPr="00DE79B4" w:rsidRDefault="00DE79B4" w:rsidP="00F66BD8">
            <w:pPr>
              <w:jc w:val="center"/>
              <w:rPr>
                <w:b/>
                <w:sz w:val="24"/>
                <w:szCs w:val="24"/>
              </w:rPr>
            </w:pPr>
            <w:r w:rsidRPr="00DE79B4">
              <w:rPr>
                <w:b/>
                <w:sz w:val="24"/>
                <w:szCs w:val="24"/>
              </w:rPr>
              <w:t>573 377,8</w:t>
            </w:r>
          </w:p>
        </w:tc>
      </w:tr>
      <w:tr w:rsidR="00F66BD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BD8" w:rsidRPr="00F66BD8" w:rsidRDefault="00F66BD8" w:rsidP="00F66BD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в том числе по видам деятельности: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BD8" w:rsidRPr="00F66BD8" w:rsidRDefault="00F66BD8" w:rsidP="00F66B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D8" w:rsidRPr="005319C7" w:rsidRDefault="00F66BD8" w:rsidP="00F66B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D8" w:rsidRPr="005319C7" w:rsidRDefault="00F66BD8" w:rsidP="00F66B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D8" w:rsidRPr="005319C7" w:rsidRDefault="00F66BD8" w:rsidP="00F66BD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BD8" w:rsidRPr="00DE79B4" w:rsidRDefault="00F66BD8" w:rsidP="00F66BD8">
            <w:pPr>
              <w:jc w:val="center"/>
              <w:rPr>
                <w:sz w:val="24"/>
                <w:szCs w:val="24"/>
              </w:rPr>
            </w:pPr>
          </w:p>
        </w:tc>
      </w:tr>
      <w:tr w:rsidR="00F66BD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BD8" w:rsidRPr="00F66BD8" w:rsidRDefault="00F66BD8" w:rsidP="00F66BD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D8" w:rsidRPr="00F66BD8" w:rsidRDefault="00F66BD8" w:rsidP="00F66BD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D8" w:rsidRPr="00211B38" w:rsidRDefault="00211B38" w:rsidP="00F66BD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535</w:t>
            </w:r>
            <w:r>
              <w:rPr>
                <w:sz w:val="24"/>
                <w:szCs w:val="24"/>
              </w:rPr>
              <w:t xml:space="preserve"> </w:t>
            </w:r>
            <w:r w:rsidRPr="00211B38">
              <w:rPr>
                <w:sz w:val="24"/>
                <w:szCs w:val="24"/>
              </w:rPr>
              <w:t>199,5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D8" w:rsidRPr="00211B38" w:rsidRDefault="00211B38" w:rsidP="00F66BD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549</w:t>
            </w:r>
            <w:r>
              <w:rPr>
                <w:sz w:val="24"/>
                <w:szCs w:val="24"/>
              </w:rPr>
              <w:t xml:space="preserve"> </w:t>
            </w:r>
            <w:r w:rsidRPr="00211B38">
              <w:rPr>
                <w:sz w:val="24"/>
                <w:szCs w:val="24"/>
              </w:rPr>
              <w:t>087,7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D8" w:rsidRPr="00211B38" w:rsidRDefault="00211B38" w:rsidP="00F66BD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557</w:t>
            </w:r>
            <w:r>
              <w:rPr>
                <w:sz w:val="24"/>
                <w:szCs w:val="24"/>
              </w:rPr>
              <w:t xml:space="preserve"> </w:t>
            </w:r>
            <w:r w:rsidRPr="00211B38">
              <w:rPr>
                <w:sz w:val="24"/>
                <w:szCs w:val="24"/>
              </w:rPr>
              <w:t>289,3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BD8" w:rsidRPr="00DE79B4" w:rsidRDefault="00DE79B4" w:rsidP="00F66BD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534 201,1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11 858,9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12 127,7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12 489,8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B38" w:rsidRPr="00DE79B4" w:rsidRDefault="00DE79B4" w:rsidP="00211B3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5 379,8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Производство напитков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465,8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482,1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495,1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B38" w:rsidRPr="00DE79B4" w:rsidRDefault="00DE79B4" w:rsidP="00211B3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483,5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2 646,7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2 680,4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2 724,5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B38" w:rsidRPr="00DE79B4" w:rsidRDefault="00DE79B4" w:rsidP="00211B38">
            <w:pPr>
              <w:snapToGrid w:val="0"/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2 912,2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135 037,6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137 711,6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139 048,6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B38" w:rsidRPr="00DE79B4" w:rsidRDefault="00DE79B4" w:rsidP="00211B38">
            <w:pPr>
              <w:snapToGrid w:val="0"/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140 004,5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5 718,9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5 849,1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5 962,3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B38" w:rsidRPr="00DE79B4" w:rsidRDefault="00DE79B4" w:rsidP="00211B38">
            <w:pPr>
              <w:snapToGrid w:val="0"/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5 439,0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942,4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958,4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974,4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B38" w:rsidRPr="00DE79B4" w:rsidRDefault="00DE79B4" w:rsidP="00211B38">
            <w:pPr>
              <w:snapToGrid w:val="0"/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1 599,0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 xml:space="preserve">Производство металлургическое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1 026,9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1 080,2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1 098,0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B38" w:rsidRPr="00DE79B4" w:rsidRDefault="00DE79B4" w:rsidP="00211B3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899,7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1 985,7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2 058,8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2 092,4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B38" w:rsidRPr="00DE79B4" w:rsidRDefault="00DE79B4" w:rsidP="00211B3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2 466,5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3 864,8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3 942,6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4 016,5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B38" w:rsidRPr="00DE79B4" w:rsidRDefault="00DE79B4" w:rsidP="00211B3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5 383,3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2 116,4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2 139,5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2 162,7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B38" w:rsidRPr="00DE79B4" w:rsidRDefault="00DE79B4" w:rsidP="00211B3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2 391,3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367 192,2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377 632,0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383 751,9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B38" w:rsidRPr="00DE79B4" w:rsidRDefault="00DE79B4" w:rsidP="00211B3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363 659,5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317,6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325,1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327,6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8" w:rsidRPr="00DE79B4" w:rsidRDefault="00DE79B4" w:rsidP="00211B3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536,4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Ремонт и монтаж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1 058,3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1 094,2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1 100,8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8" w:rsidRPr="00DE79B4" w:rsidRDefault="00DE79B4" w:rsidP="00211B3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2 432,4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25 505,2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25 905,3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26 255,3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8" w:rsidRPr="00DE79B4" w:rsidRDefault="00DE79B4" w:rsidP="00211B3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22 031,5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10 747,4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10 801,4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10 963,5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8" w:rsidRPr="00DE79B4" w:rsidRDefault="00DE79B4" w:rsidP="00211B3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17 145,2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38" w:rsidRPr="00F66BD8" w:rsidRDefault="00211B38" w:rsidP="00211B38">
            <w:pPr>
              <w:rPr>
                <w:b/>
                <w:sz w:val="24"/>
                <w:szCs w:val="24"/>
              </w:rPr>
            </w:pPr>
            <w:r w:rsidRPr="00F66BD8">
              <w:rPr>
                <w:b/>
                <w:sz w:val="24"/>
                <w:szCs w:val="24"/>
              </w:rPr>
              <w:t xml:space="preserve">Индекс промышленного производства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B38" w:rsidRPr="00F66BD8" w:rsidRDefault="00211B38" w:rsidP="00211B38">
            <w:pPr>
              <w:jc w:val="center"/>
              <w:rPr>
                <w:b/>
                <w:sz w:val="24"/>
                <w:szCs w:val="24"/>
              </w:rPr>
            </w:pPr>
            <w:r w:rsidRPr="00F66BD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D35F6D" w:rsidRDefault="00211B38" w:rsidP="00211B38">
            <w:pPr>
              <w:jc w:val="center"/>
              <w:rPr>
                <w:b/>
                <w:sz w:val="24"/>
                <w:szCs w:val="24"/>
              </w:rPr>
            </w:pPr>
            <w:r w:rsidRPr="00D35F6D">
              <w:rPr>
                <w:b/>
                <w:sz w:val="24"/>
                <w:szCs w:val="24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D35F6D" w:rsidRDefault="00211B38" w:rsidP="00211B38">
            <w:pPr>
              <w:jc w:val="center"/>
              <w:rPr>
                <w:b/>
                <w:sz w:val="24"/>
                <w:szCs w:val="24"/>
              </w:rPr>
            </w:pPr>
            <w:r w:rsidRPr="00D35F6D">
              <w:rPr>
                <w:b/>
                <w:sz w:val="24"/>
                <w:szCs w:val="24"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D35F6D" w:rsidRDefault="00211B38" w:rsidP="00211B38">
            <w:pPr>
              <w:jc w:val="center"/>
              <w:rPr>
                <w:b/>
                <w:sz w:val="24"/>
                <w:szCs w:val="24"/>
              </w:rPr>
            </w:pPr>
            <w:r w:rsidRPr="00D35F6D">
              <w:rPr>
                <w:b/>
                <w:sz w:val="24"/>
                <w:szCs w:val="24"/>
              </w:rPr>
              <w:t>105,7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8" w:rsidRPr="00DE79B4" w:rsidRDefault="00DE79B4" w:rsidP="00211B38">
            <w:pPr>
              <w:jc w:val="center"/>
              <w:rPr>
                <w:b/>
                <w:sz w:val="24"/>
                <w:szCs w:val="24"/>
              </w:rPr>
            </w:pPr>
            <w:r w:rsidRPr="00DE79B4">
              <w:rPr>
                <w:b/>
                <w:sz w:val="24"/>
                <w:szCs w:val="24"/>
              </w:rPr>
              <w:t>101,1</w:t>
            </w:r>
          </w:p>
        </w:tc>
      </w:tr>
      <w:tr w:rsidR="00F66BD8" w:rsidRPr="005319C7" w:rsidTr="003935C4">
        <w:trPr>
          <w:trHeight w:val="19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6BD8" w:rsidRDefault="00F66BD8" w:rsidP="00F66BD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в том числе по видам деятельности:</w:t>
            </w:r>
          </w:p>
          <w:p w:rsidR="00742686" w:rsidRPr="00F66BD8" w:rsidRDefault="00742686" w:rsidP="00F66B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BD8" w:rsidRPr="00F66BD8" w:rsidRDefault="00F66BD8" w:rsidP="00F66BD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D8" w:rsidRPr="00211B38" w:rsidRDefault="00F66BD8" w:rsidP="00211B3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D8" w:rsidRPr="00211B38" w:rsidRDefault="00F66BD8" w:rsidP="00211B38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BD8" w:rsidRPr="00211B38" w:rsidRDefault="00F66BD8" w:rsidP="00211B38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BD8" w:rsidRPr="00DE79B4" w:rsidRDefault="00F66BD8" w:rsidP="00211B38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8" w:rsidRPr="00DE79B4" w:rsidRDefault="00DE79B4" w:rsidP="00211B3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100,7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8" w:rsidRPr="00DE79B4" w:rsidRDefault="00DE79B4" w:rsidP="00211B3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108,0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Производство напитков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8" w:rsidRPr="00DE79B4" w:rsidRDefault="009F4BE3" w:rsidP="00211B3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69,9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8" w:rsidRPr="00DE79B4" w:rsidRDefault="009F4BE3" w:rsidP="00211B3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101,8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8" w:rsidRPr="00DE79B4" w:rsidRDefault="009F4BE3" w:rsidP="00DE79B4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102,</w:t>
            </w:r>
            <w:r w:rsidR="00DE79B4" w:rsidRPr="00DE79B4">
              <w:rPr>
                <w:sz w:val="24"/>
                <w:szCs w:val="24"/>
              </w:rPr>
              <w:t>0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8" w:rsidRPr="00DE79B4" w:rsidRDefault="009F4BE3" w:rsidP="00211B3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110,3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8" w:rsidRPr="00DE79B4" w:rsidRDefault="009F4BE3" w:rsidP="00211B3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73,7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 xml:space="preserve">Производство металлургическое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98,3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8" w:rsidRPr="00DE79B4" w:rsidRDefault="009F4BE3" w:rsidP="00211B3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121,7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8" w:rsidRPr="00DE79B4" w:rsidRDefault="009F4BE3" w:rsidP="00211B3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129,5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99,3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8" w:rsidRPr="00DE79B4" w:rsidRDefault="009F4BE3" w:rsidP="00211B3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97,7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B38" w:rsidRPr="00F66BD8" w:rsidRDefault="00211B38" w:rsidP="00211B38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8" w:rsidRPr="00DE79B4" w:rsidRDefault="009F4BE3" w:rsidP="00211B3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25,1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B38" w:rsidRPr="00F66BD8" w:rsidRDefault="00211B38" w:rsidP="00211B38">
            <w:pPr>
              <w:snapToGrid w:val="0"/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8" w:rsidRPr="00DE79B4" w:rsidRDefault="009F4BE3" w:rsidP="00211B3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100,6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B38" w:rsidRPr="00F66BD8" w:rsidRDefault="00211B38" w:rsidP="00211B38">
            <w:pPr>
              <w:snapToGrid w:val="0"/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8" w:rsidRPr="00DE79B4" w:rsidRDefault="009F4BE3" w:rsidP="00211B3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88,9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38" w:rsidRPr="00F66BD8" w:rsidRDefault="00211B38" w:rsidP="00211B38">
            <w:pPr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Ремонт и монтаж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B38" w:rsidRPr="00F66BD8" w:rsidRDefault="00211B38" w:rsidP="00211B38">
            <w:pPr>
              <w:snapToGrid w:val="0"/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sz w:val="24"/>
                <w:szCs w:val="24"/>
              </w:rPr>
            </w:pPr>
            <w:r w:rsidRPr="00211B38">
              <w:rPr>
                <w:sz w:val="24"/>
                <w:szCs w:val="24"/>
              </w:rPr>
              <w:t>101,1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8" w:rsidRPr="00DE79B4" w:rsidRDefault="009F4BE3" w:rsidP="00211B38">
            <w:pPr>
              <w:jc w:val="center"/>
              <w:rPr>
                <w:sz w:val="24"/>
                <w:szCs w:val="24"/>
              </w:rPr>
            </w:pPr>
            <w:r w:rsidRPr="00DE79B4">
              <w:rPr>
                <w:sz w:val="24"/>
                <w:szCs w:val="24"/>
              </w:rPr>
              <w:t>140,2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38" w:rsidRPr="00211B38" w:rsidRDefault="00211B38" w:rsidP="00211B38">
            <w:pPr>
              <w:rPr>
                <w:b/>
                <w:sz w:val="24"/>
                <w:szCs w:val="24"/>
              </w:rPr>
            </w:pPr>
            <w:r w:rsidRPr="00211B38">
              <w:rPr>
                <w:b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B38" w:rsidRPr="00211B38" w:rsidRDefault="00211B38" w:rsidP="00211B3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11B3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b/>
                <w:sz w:val="24"/>
                <w:szCs w:val="24"/>
              </w:rPr>
            </w:pPr>
            <w:r w:rsidRPr="00211B38">
              <w:rPr>
                <w:b/>
                <w:sz w:val="24"/>
                <w:szCs w:val="24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b/>
                <w:sz w:val="24"/>
                <w:szCs w:val="24"/>
              </w:rPr>
            </w:pPr>
            <w:r w:rsidRPr="00211B38">
              <w:rPr>
                <w:b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211B38" w:rsidRDefault="00211B38" w:rsidP="00211B38">
            <w:pPr>
              <w:jc w:val="center"/>
              <w:rPr>
                <w:b/>
                <w:sz w:val="24"/>
                <w:szCs w:val="24"/>
              </w:rPr>
            </w:pPr>
            <w:r w:rsidRPr="00211B38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8" w:rsidRPr="00DE79B4" w:rsidRDefault="009F4BE3" w:rsidP="00211B38">
            <w:pPr>
              <w:jc w:val="center"/>
              <w:rPr>
                <w:b/>
                <w:sz w:val="24"/>
                <w:szCs w:val="24"/>
              </w:rPr>
            </w:pPr>
            <w:r w:rsidRPr="00DE79B4">
              <w:rPr>
                <w:b/>
                <w:sz w:val="24"/>
                <w:szCs w:val="24"/>
              </w:rPr>
              <w:t>94,6</w:t>
            </w:r>
          </w:p>
        </w:tc>
      </w:tr>
      <w:tr w:rsidR="00211B38" w:rsidRPr="005319C7" w:rsidTr="003935C4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B38" w:rsidRPr="00F66BD8" w:rsidRDefault="00211B38" w:rsidP="00211B38">
            <w:pPr>
              <w:rPr>
                <w:b/>
                <w:sz w:val="24"/>
                <w:szCs w:val="24"/>
              </w:rPr>
            </w:pPr>
            <w:r w:rsidRPr="00F66BD8">
              <w:rPr>
                <w:b/>
                <w:sz w:val="24"/>
                <w:szCs w:val="24"/>
              </w:rPr>
              <w:t xml:space="preserve">Водоснабжение; водоотведение, организация </w:t>
            </w:r>
            <w:r w:rsidRPr="00F66BD8">
              <w:rPr>
                <w:b/>
                <w:sz w:val="24"/>
                <w:szCs w:val="24"/>
              </w:rPr>
              <w:lastRenderedPageBreak/>
              <w:t>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B38" w:rsidRPr="00F66BD8" w:rsidRDefault="00211B38" w:rsidP="00211B38">
            <w:pPr>
              <w:jc w:val="center"/>
              <w:rPr>
                <w:b/>
                <w:sz w:val="24"/>
                <w:szCs w:val="24"/>
              </w:rPr>
            </w:pPr>
            <w:r w:rsidRPr="00F66BD8">
              <w:rPr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D35F6D" w:rsidRDefault="00211B38" w:rsidP="00211B38">
            <w:pPr>
              <w:jc w:val="center"/>
              <w:rPr>
                <w:b/>
                <w:sz w:val="24"/>
                <w:szCs w:val="24"/>
              </w:rPr>
            </w:pPr>
            <w:r w:rsidRPr="00D35F6D">
              <w:rPr>
                <w:b/>
                <w:sz w:val="24"/>
                <w:szCs w:val="24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D35F6D" w:rsidRDefault="00211B38" w:rsidP="00211B38">
            <w:pPr>
              <w:jc w:val="center"/>
              <w:rPr>
                <w:b/>
                <w:sz w:val="24"/>
                <w:szCs w:val="24"/>
              </w:rPr>
            </w:pPr>
            <w:r w:rsidRPr="00D35F6D">
              <w:rPr>
                <w:b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B38" w:rsidRPr="00D35F6D" w:rsidRDefault="00211B38" w:rsidP="00211B38">
            <w:pPr>
              <w:jc w:val="center"/>
              <w:rPr>
                <w:b/>
                <w:sz w:val="24"/>
                <w:szCs w:val="24"/>
              </w:rPr>
            </w:pPr>
            <w:r w:rsidRPr="00D35F6D">
              <w:rPr>
                <w:b/>
                <w:sz w:val="24"/>
                <w:szCs w:val="24"/>
              </w:rPr>
              <w:t>101,5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38" w:rsidRPr="00DE79B4" w:rsidRDefault="009F4BE3" w:rsidP="00211B38">
            <w:pPr>
              <w:jc w:val="center"/>
              <w:rPr>
                <w:b/>
                <w:sz w:val="24"/>
                <w:szCs w:val="24"/>
              </w:rPr>
            </w:pPr>
            <w:r w:rsidRPr="00DE79B4">
              <w:rPr>
                <w:b/>
                <w:sz w:val="24"/>
                <w:szCs w:val="24"/>
              </w:rPr>
              <w:t>129,5</w:t>
            </w:r>
          </w:p>
        </w:tc>
      </w:tr>
    </w:tbl>
    <w:p w:rsidR="009B09FE" w:rsidRDefault="009B09FE" w:rsidP="00443EE9">
      <w:pPr>
        <w:pStyle w:val="38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F1CCE" w:rsidRPr="00DE79B4" w:rsidRDefault="009B09FE" w:rsidP="00443EE9">
      <w:pPr>
        <w:pStyle w:val="38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F1CCE" w:rsidRPr="00DE79B4">
        <w:rPr>
          <w:rFonts w:ascii="Times New Roman" w:hAnsi="Times New Roman" w:cs="Times New Roman"/>
          <w:sz w:val="24"/>
          <w:szCs w:val="24"/>
        </w:rPr>
        <w:t>жидаемое выполнение прогнозных показателей</w:t>
      </w:r>
    </w:p>
    <w:p w:rsidR="002F1CCE" w:rsidRDefault="002F1CCE" w:rsidP="00443EE9">
      <w:pPr>
        <w:pStyle w:val="38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E79B4">
        <w:rPr>
          <w:rFonts w:ascii="Times New Roman" w:hAnsi="Times New Roman" w:cs="Times New Roman"/>
          <w:sz w:val="24"/>
          <w:szCs w:val="24"/>
        </w:rPr>
        <w:t>по производству промышленной продукции в натуральном выражении  на 201</w:t>
      </w:r>
      <w:r w:rsidR="00DE79B4">
        <w:rPr>
          <w:rFonts w:ascii="Times New Roman" w:hAnsi="Times New Roman" w:cs="Times New Roman"/>
          <w:sz w:val="24"/>
          <w:szCs w:val="24"/>
        </w:rPr>
        <w:t>9</w:t>
      </w:r>
      <w:r w:rsidRPr="00DE79B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42686" w:rsidRPr="00DE79B4" w:rsidRDefault="00742686" w:rsidP="00443EE9">
      <w:pPr>
        <w:pStyle w:val="38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8" w:type="dxa"/>
        <w:tblInd w:w="-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83"/>
        <w:gridCol w:w="1134"/>
        <w:gridCol w:w="1275"/>
        <w:gridCol w:w="1134"/>
        <w:gridCol w:w="1134"/>
        <w:gridCol w:w="1418"/>
      </w:tblGrid>
      <w:tr w:rsidR="00D35F6D" w:rsidRPr="005319C7" w:rsidTr="00D35F6D">
        <w:trPr>
          <w:trHeight w:val="416"/>
          <w:tblHeader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F6D" w:rsidRPr="00F66BD8" w:rsidRDefault="00D35F6D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F66BD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" cy="228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6BD8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F6D" w:rsidRPr="00F66BD8" w:rsidRDefault="00D35F6D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Единица</w:t>
            </w:r>
          </w:p>
          <w:p w:rsidR="00D35F6D" w:rsidRPr="00F66BD8" w:rsidRDefault="00D35F6D" w:rsidP="00443EE9">
            <w:pPr>
              <w:snapToGrid w:val="0"/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измерения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F6D" w:rsidRPr="00F66BD8" w:rsidRDefault="00D35F6D" w:rsidP="00D35F6D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Прогноз на 201</w:t>
            </w:r>
            <w:r>
              <w:rPr>
                <w:sz w:val="24"/>
                <w:szCs w:val="24"/>
              </w:rPr>
              <w:t>9</w:t>
            </w:r>
            <w:r w:rsidRPr="00F66BD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6D" w:rsidRPr="00F66BD8" w:rsidRDefault="00D35F6D" w:rsidP="00443EE9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F66BD8">
              <w:rPr>
                <w:sz w:val="24"/>
                <w:szCs w:val="24"/>
              </w:rPr>
              <w:t xml:space="preserve"> год</w:t>
            </w:r>
          </w:p>
          <w:p w:rsidR="00D35F6D" w:rsidRPr="00F66BD8" w:rsidRDefault="00D35F6D" w:rsidP="00443EE9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(оценка)</w:t>
            </w:r>
          </w:p>
        </w:tc>
      </w:tr>
      <w:tr w:rsidR="00D35F6D" w:rsidRPr="005319C7" w:rsidTr="00D35F6D">
        <w:trPr>
          <w:trHeight w:val="481"/>
          <w:tblHeader/>
        </w:trPr>
        <w:tc>
          <w:tcPr>
            <w:tcW w:w="3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F6D" w:rsidRPr="00F66BD8" w:rsidRDefault="00D35F6D" w:rsidP="00D35F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F6D" w:rsidRPr="00F66BD8" w:rsidRDefault="00D35F6D" w:rsidP="00D35F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1 вариант (консерва</w:t>
            </w:r>
          </w:p>
          <w:p w:rsidR="00D35F6D" w:rsidRPr="00F66BD8" w:rsidRDefault="00D35F6D" w:rsidP="00D35F6D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тивный)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F6D" w:rsidRPr="00F66BD8" w:rsidRDefault="00D35F6D" w:rsidP="00D35F6D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2 вариант</w:t>
            </w:r>
          </w:p>
          <w:p w:rsidR="00D35F6D" w:rsidRPr="00F66BD8" w:rsidRDefault="00D35F6D" w:rsidP="00D35F6D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(базовый)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F6D" w:rsidRDefault="00D35F6D" w:rsidP="00D35F6D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 вариант</w:t>
            </w:r>
          </w:p>
          <w:p w:rsidR="00D35F6D" w:rsidRPr="005319C7" w:rsidRDefault="00D35F6D" w:rsidP="00D35F6D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(целевой)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F6D" w:rsidRPr="00F66BD8" w:rsidRDefault="00D35F6D" w:rsidP="00D35F6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35F6D" w:rsidRPr="005319C7" w:rsidTr="002E4DA4">
        <w:trPr>
          <w:trHeight w:val="481"/>
          <w:tblHeader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F6D" w:rsidRPr="00F66BD8" w:rsidRDefault="00D35F6D" w:rsidP="00D35F6D">
            <w:pPr>
              <w:snapToGrid w:val="0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Аммиак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F6D" w:rsidRPr="00F66BD8" w:rsidRDefault="00D35F6D" w:rsidP="00D35F6D">
            <w:pPr>
              <w:snapToGrid w:val="0"/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тыс.тонн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35F6D">
              <w:rPr>
                <w:sz w:val="24"/>
                <w:szCs w:val="24"/>
              </w:rPr>
              <w:t>4 300,0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4 350,0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4 420,0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F6D" w:rsidRPr="00F66BD8" w:rsidRDefault="00DE79B4" w:rsidP="00D35F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4 071,8</w:t>
            </w:r>
          </w:p>
        </w:tc>
      </w:tr>
      <w:tr w:rsidR="00D35F6D" w:rsidRPr="005319C7" w:rsidTr="002E4DA4">
        <w:trPr>
          <w:trHeight w:val="481"/>
          <w:tblHeader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F6D" w:rsidRPr="00F66BD8" w:rsidRDefault="00D35F6D" w:rsidP="00D35F6D">
            <w:pPr>
              <w:snapToGrid w:val="0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Пластмассы в первичных формах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F6D" w:rsidRPr="00F66BD8" w:rsidRDefault="00D35F6D" w:rsidP="00D35F6D">
            <w:pPr>
              <w:snapToGrid w:val="0"/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тыс.тонн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341,5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359,5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363,0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F6D" w:rsidRPr="00F66BD8" w:rsidRDefault="00DE79B4" w:rsidP="00D35F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257,3</w:t>
            </w:r>
          </w:p>
        </w:tc>
      </w:tr>
      <w:tr w:rsidR="00D35F6D" w:rsidRPr="005319C7" w:rsidTr="002E4DA4">
        <w:trPr>
          <w:trHeight w:val="481"/>
          <w:tblHeader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F6D" w:rsidRPr="00F66BD8" w:rsidRDefault="00D35F6D" w:rsidP="00D35F6D">
            <w:pPr>
              <w:snapToGrid w:val="0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 xml:space="preserve">Автомобили легковые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F6D" w:rsidRPr="00F66BD8" w:rsidRDefault="00D35F6D" w:rsidP="00D35F6D">
            <w:pPr>
              <w:snapToGrid w:val="0"/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тыс.штук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435,0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F6D" w:rsidRPr="00F66BD8" w:rsidRDefault="00DE79B4" w:rsidP="00D35F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407,0</w:t>
            </w:r>
          </w:p>
        </w:tc>
      </w:tr>
      <w:tr w:rsidR="00D35F6D" w:rsidRPr="005319C7" w:rsidTr="002E4DA4">
        <w:trPr>
          <w:trHeight w:val="481"/>
          <w:tblHeader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F6D" w:rsidRPr="00F66BD8" w:rsidRDefault="00D35F6D" w:rsidP="00D35F6D">
            <w:pPr>
              <w:snapToGrid w:val="0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F6D" w:rsidRPr="00F66BD8" w:rsidRDefault="00D35F6D" w:rsidP="00D35F6D">
            <w:pPr>
              <w:snapToGrid w:val="0"/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гигаватт-час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4 850,0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4 930,0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4 985,0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F6D" w:rsidRPr="00F66BD8" w:rsidRDefault="00DE79B4" w:rsidP="00D35F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4 350,0</w:t>
            </w:r>
          </w:p>
        </w:tc>
      </w:tr>
      <w:tr w:rsidR="00D35F6D" w:rsidRPr="005319C7" w:rsidTr="002E4DA4">
        <w:trPr>
          <w:trHeight w:val="481"/>
          <w:tblHeader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F6D" w:rsidRPr="00F66BD8" w:rsidRDefault="00D35F6D" w:rsidP="00D35F6D">
            <w:pPr>
              <w:snapToGrid w:val="0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Пар и горячая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F6D" w:rsidRPr="00F66BD8" w:rsidRDefault="00D35F6D" w:rsidP="00D35F6D">
            <w:pPr>
              <w:snapToGrid w:val="0"/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тыс.гигакалорий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14 450,0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14 570,0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14 750,0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F6D" w:rsidRPr="00F66BD8" w:rsidRDefault="00DE79B4" w:rsidP="00D35F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14 142,2</w:t>
            </w:r>
          </w:p>
        </w:tc>
      </w:tr>
      <w:tr w:rsidR="00D35F6D" w:rsidRPr="005319C7" w:rsidTr="002E4DA4">
        <w:trPr>
          <w:trHeight w:val="481"/>
          <w:tblHeader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F6D" w:rsidRPr="00F66BD8" w:rsidRDefault="00D35F6D" w:rsidP="00D35F6D">
            <w:pPr>
              <w:snapToGrid w:val="0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Изделия колбасные, в том числе для детского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F6D" w:rsidRPr="00F66BD8" w:rsidRDefault="00D35F6D" w:rsidP="00D35F6D">
            <w:pPr>
              <w:snapToGrid w:val="0"/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тыс.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35F6D">
              <w:rPr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F6D" w:rsidRPr="00F66BD8" w:rsidRDefault="00DE79B4" w:rsidP="00D35F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</w:tr>
      <w:tr w:rsidR="00D35F6D" w:rsidRPr="005319C7" w:rsidTr="002E4DA4">
        <w:trPr>
          <w:trHeight w:val="48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F6D" w:rsidRPr="00F66BD8" w:rsidRDefault="00D35F6D" w:rsidP="00D35F6D">
            <w:pPr>
              <w:snapToGrid w:val="0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Полуфабрикаты мясные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F6D" w:rsidRPr="00F66BD8" w:rsidRDefault="00D35F6D" w:rsidP="00D35F6D">
            <w:pPr>
              <w:snapToGrid w:val="0"/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тыс.тонн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F6D" w:rsidRPr="00F66BD8" w:rsidRDefault="00DE79B4" w:rsidP="00D35F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  <w:tr w:rsidR="00D35F6D" w:rsidRPr="005319C7" w:rsidTr="002E4DA4">
        <w:trPr>
          <w:trHeight w:val="48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F6D" w:rsidRPr="00F66BD8" w:rsidRDefault="00D35F6D" w:rsidP="00D35F6D">
            <w:pPr>
              <w:snapToGrid w:val="0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F6D" w:rsidRPr="00F66BD8" w:rsidRDefault="00D35F6D" w:rsidP="00D35F6D">
            <w:pPr>
              <w:snapToGrid w:val="0"/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тыс.тонн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29,5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F6D" w:rsidRPr="00F66BD8" w:rsidRDefault="00DE79B4" w:rsidP="00D35F6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D35F6D" w:rsidRPr="005319C7" w:rsidTr="002E4DA4">
        <w:trPr>
          <w:trHeight w:val="48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F6D" w:rsidRPr="00F66BD8" w:rsidRDefault="00D35F6D" w:rsidP="00D35F6D">
            <w:pPr>
              <w:snapToGrid w:val="0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F6D" w:rsidRPr="00F66BD8" w:rsidRDefault="00D35F6D" w:rsidP="00D35F6D">
            <w:pPr>
              <w:snapToGrid w:val="0"/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тыс.тонн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6D" w:rsidRPr="00D35F6D" w:rsidRDefault="00D35F6D" w:rsidP="00D35F6D">
            <w:pPr>
              <w:jc w:val="center"/>
              <w:rPr>
                <w:sz w:val="24"/>
                <w:szCs w:val="24"/>
              </w:rPr>
            </w:pPr>
            <w:r w:rsidRPr="00D35F6D">
              <w:rPr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F6D" w:rsidRPr="005319C7" w:rsidRDefault="00DE79B4" w:rsidP="00D35F6D">
            <w:pPr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DE79B4">
              <w:rPr>
                <w:sz w:val="24"/>
                <w:szCs w:val="24"/>
              </w:rPr>
              <w:t>7,4</w:t>
            </w:r>
          </w:p>
        </w:tc>
      </w:tr>
    </w:tbl>
    <w:p w:rsidR="00742686" w:rsidRDefault="00742686" w:rsidP="00261A6E">
      <w:pPr>
        <w:spacing w:line="276" w:lineRule="auto"/>
        <w:ind w:firstLine="709"/>
        <w:jc w:val="both"/>
        <w:rPr>
          <w:sz w:val="24"/>
          <w:szCs w:val="24"/>
        </w:rPr>
      </w:pPr>
    </w:p>
    <w:p w:rsidR="00BE02C2" w:rsidRDefault="002F1CCE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81226A">
        <w:rPr>
          <w:sz w:val="24"/>
          <w:szCs w:val="24"/>
        </w:rPr>
        <w:t>Значения показателей промышленного сектора экономики на 201</w:t>
      </w:r>
      <w:r w:rsidR="0081226A" w:rsidRPr="0081226A">
        <w:rPr>
          <w:sz w:val="24"/>
          <w:szCs w:val="24"/>
        </w:rPr>
        <w:t>9</w:t>
      </w:r>
      <w:r w:rsidRPr="0081226A">
        <w:rPr>
          <w:sz w:val="24"/>
          <w:szCs w:val="24"/>
        </w:rPr>
        <w:t xml:space="preserve"> год скорректированы относительно прошлогоднего прогноза </w:t>
      </w:r>
      <w:r w:rsidR="00BD6D70" w:rsidRPr="0081226A">
        <w:rPr>
          <w:sz w:val="24"/>
          <w:szCs w:val="24"/>
        </w:rPr>
        <w:t>на основании</w:t>
      </w:r>
      <w:r w:rsidRPr="0081226A">
        <w:rPr>
          <w:sz w:val="24"/>
          <w:szCs w:val="24"/>
        </w:rPr>
        <w:t xml:space="preserve"> сложившейся в текущем году динамики фактических значений показателей. </w:t>
      </w:r>
      <w:r w:rsidR="007403FF">
        <w:rPr>
          <w:sz w:val="24"/>
          <w:szCs w:val="24"/>
        </w:rPr>
        <w:t xml:space="preserve">В </w:t>
      </w:r>
      <w:r w:rsidR="009622E4">
        <w:rPr>
          <w:sz w:val="24"/>
          <w:szCs w:val="24"/>
        </w:rPr>
        <w:t>о</w:t>
      </w:r>
      <w:r w:rsidR="007403FF">
        <w:rPr>
          <w:sz w:val="24"/>
          <w:szCs w:val="24"/>
        </w:rPr>
        <w:t xml:space="preserve">брабатывающих производствах </w:t>
      </w:r>
      <w:r w:rsidRPr="007403FF">
        <w:rPr>
          <w:sz w:val="24"/>
          <w:szCs w:val="24"/>
        </w:rPr>
        <w:t xml:space="preserve">скорректированы </w:t>
      </w:r>
      <w:r w:rsidR="00021F14" w:rsidRPr="007403FF">
        <w:rPr>
          <w:sz w:val="24"/>
          <w:szCs w:val="24"/>
        </w:rPr>
        <w:t xml:space="preserve">в сторону снижения </w:t>
      </w:r>
      <w:r w:rsidRPr="007403FF">
        <w:rPr>
          <w:sz w:val="24"/>
          <w:szCs w:val="24"/>
        </w:rPr>
        <w:t>показатели производств</w:t>
      </w:r>
      <w:r w:rsidR="00D17E21">
        <w:rPr>
          <w:sz w:val="24"/>
          <w:szCs w:val="24"/>
        </w:rPr>
        <w:t>а</w:t>
      </w:r>
      <w:r w:rsidRPr="007403FF">
        <w:rPr>
          <w:sz w:val="24"/>
          <w:szCs w:val="24"/>
        </w:rPr>
        <w:t xml:space="preserve"> автотранспортных средств, прицепов и полуприцепов ввиду </w:t>
      </w:r>
      <w:r w:rsidR="00021F14" w:rsidRPr="007403FF">
        <w:rPr>
          <w:sz w:val="24"/>
          <w:szCs w:val="24"/>
        </w:rPr>
        <w:t xml:space="preserve">замедления темпов роста </w:t>
      </w:r>
      <w:r w:rsidRPr="007403FF">
        <w:rPr>
          <w:sz w:val="24"/>
          <w:szCs w:val="24"/>
        </w:rPr>
        <w:t xml:space="preserve">производства </w:t>
      </w:r>
      <w:r w:rsidR="007403FF" w:rsidRPr="007403FF">
        <w:rPr>
          <w:sz w:val="24"/>
          <w:szCs w:val="24"/>
        </w:rPr>
        <w:t xml:space="preserve">по данному виду деятельности </w:t>
      </w:r>
      <w:r w:rsidRPr="007403FF">
        <w:rPr>
          <w:sz w:val="24"/>
          <w:szCs w:val="24"/>
        </w:rPr>
        <w:t>в текущем году</w:t>
      </w:r>
      <w:r w:rsidR="00021F14" w:rsidRPr="007403FF">
        <w:rPr>
          <w:sz w:val="24"/>
          <w:szCs w:val="24"/>
        </w:rPr>
        <w:t xml:space="preserve"> по сравнению с высокой базой 2018 года</w:t>
      </w:r>
      <w:r w:rsidR="007403FF" w:rsidRPr="007403FF">
        <w:rPr>
          <w:sz w:val="24"/>
          <w:szCs w:val="24"/>
        </w:rPr>
        <w:t>.</w:t>
      </w:r>
      <w:r w:rsidRPr="007403FF">
        <w:rPr>
          <w:sz w:val="24"/>
          <w:szCs w:val="24"/>
        </w:rPr>
        <w:t xml:space="preserve"> </w:t>
      </w:r>
      <w:r w:rsidR="007403FF">
        <w:rPr>
          <w:sz w:val="24"/>
          <w:szCs w:val="24"/>
        </w:rPr>
        <w:t>В</w:t>
      </w:r>
      <w:r w:rsidR="007403FF" w:rsidRPr="007403FF">
        <w:rPr>
          <w:sz w:val="24"/>
          <w:szCs w:val="24"/>
        </w:rPr>
        <w:t xml:space="preserve"> химическом производстве</w:t>
      </w:r>
      <w:r w:rsidR="007403FF">
        <w:rPr>
          <w:sz w:val="24"/>
          <w:szCs w:val="24"/>
        </w:rPr>
        <w:t>, напротив,</w:t>
      </w:r>
      <w:r w:rsidR="007403FF" w:rsidRPr="007403FF">
        <w:rPr>
          <w:sz w:val="24"/>
          <w:szCs w:val="24"/>
        </w:rPr>
        <w:t xml:space="preserve"> </w:t>
      </w:r>
      <w:r w:rsidR="007403FF">
        <w:rPr>
          <w:sz w:val="24"/>
          <w:szCs w:val="24"/>
        </w:rPr>
        <w:t xml:space="preserve">незначительно </w:t>
      </w:r>
      <w:r w:rsidR="007403FF" w:rsidRPr="007403FF">
        <w:rPr>
          <w:sz w:val="24"/>
          <w:szCs w:val="24"/>
        </w:rPr>
        <w:t xml:space="preserve">увеличен </w:t>
      </w:r>
      <w:r w:rsidR="007403FF">
        <w:rPr>
          <w:sz w:val="24"/>
          <w:szCs w:val="24"/>
        </w:rPr>
        <w:t xml:space="preserve">относительно прошлогоднего прогноза объем отгруженной </w:t>
      </w:r>
      <w:r w:rsidR="00D17E21">
        <w:rPr>
          <w:sz w:val="24"/>
          <w:szCs w:val="24"/>
        </w:rPr>
        <w:t xml:space="preserve">химической </w:t>
      </w:r>
      <w:r w:rsidR="007403FF">
        <w:rPr>
          <w:sz w:val="24"/>
          <w:szCs w:val="24"/>
        </w:rPr>
        <w:t>продукции.</w:t>
      </w:r>
      <w:r w:rsidR="007403FF" w:rsidRPr="007403FF">
        <w:rPr>
          <w:sz w:val="24"/>
          <w:szCs w:val="24"/>
        </w:rPr>
        <w:t xml:space="preserve"> </w:t>
      </w:r>
      <w:r w:rsidR="007403FF">
        <w:rPr>
          <w:sz w:val="24"/>
          <w:szCs w:val="24"/>
        </w:rPr>
        <w:t>Существенно ско</w:t>
      </w:r>
      <w:r w:rsidR="007403FF" w:rsidRPr="007403FF">
        <w:rPr>
          <w:sz w:val="24"/>
          <w:szCs w:val="24"/>
        </w:rPr>
        <w:t>рректированы в сторону увеличения показатели промышленной деятельности п</w:t>
      </w:r>
      <w:r w:rsidR="00021F14" w:rsidRPr="007403FF">
        <w:rPr>
          <w:sz w:val="24"/>
          <w:szCs w:val="24"/>
        </w:rPr>
        <w:t xml:space="preserve">о виду деятельности </w:t>
      </w:r>
      <w:r w:rsidR="007403FF">
        <w:rPr>
          <w:sz w:val="24"/>
          <w:szCs w:val="24"/>
        </w:rPr>
        <w:t>«</w:t>
      </w:r>
      <w:r w:rsidR="007403FF" w:rsidRPr="007403FF">
        <w:rPr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  <w:r w:rsidR="007403FF">
        <w:rPr>
          <w:sz w:val="24"/>
          <w:szCs w:val="24"/>
        </w:rPr>
        <w:t xml:space="preserve">» в связи со значительным ростом </w:t>
      </w:r>
      <w:r w:rsidR="00E200AA">
        <w:rPr>
          <w:sz w:val="24"/>
          <w:szCs w:val="24"/>
        </w:rPr>
        <w:t>показателей начиная с 4 квартала 2018 года</w:t>
      </w:r>
      <w:r w:rsidR="00D17E21">
        <w:rPr>
          <w:sz w:val="24"/>
          <w:szCs w:val="24"/>
        </w:rPr>
        <w:t xml:space="preserve"> на предприятиях, осуществляющих д</w:t>
      </w:r>
      <w:r w:rsidR="00D17E21" w:rsidRPr="00D17E21">
        <w:rPr>
          <w:sz w:val="24"/>
          <w:szCs w:val="24"/>
        </w:rPr>
        <w:t>еятельность по обработке вторичного сырья</w:t>
      </w:r>
      <w:r w:rsidR="00D17E21">
        <w:rPr>
          <w:sz w:val="24"/>
          <w:szCs w:val="24"/>
        </w:rPr>
        <w:t>.</w:t>
      </w:r>
    </w:p>
    <w:p w:rsidR="00021F14" w:rsidRDefault="00E200AA" w:rsidP="00261A6E">
      <w:pPr>
        <w:spacing w:line="276" w:lineRule="auto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lastRenderedPageBreak/>
        <w:t>В</w:t>
      </w:r>
      <w:r w:rsidR="00BE02C2">
        <w:rPr>
          <w:sz w:val="24"/>
          <w:szCs w:val="24"/>
        </w:rPr>
        <w:t xml:space="preserve"> целом оценка объема отгруженной промышленной продукции за 2019 год соответствует прогнозным параметрам прогноза, рассчитанного в предыдущем году, (более всего приближена к значению консервативно</w:t>
      </w:r>
      <w:r w:rsidR="00742686">
        <w:rPr>
          <w:sz w:val="24"/>
          <w:szCs w:val="24"/>
        </w:rPr>
        <w:t>го</w:t>
      </w:r>
      <w:r w:rsidR="00BE02C2">
        <w:rPr>
          <w:sz w:val="24"/>
          <w:szCs w:val="24"/>
        </w:rPr>
        <w:t xml:space="preserve"> вариант</w:t>
      </w:r>
      <w:r w:rsidR="00742686">
        <w:rPr>
          <w:sz w:val="24"/>
          <w:szCs w:val="24"/>
        </w:rPr>
        <w:t>а</w:t>
      </w:r>
      <w:r w:rsidR="00BE02C2">
        <w:rPr>
          <w:sz w:val="24"/>
          <w:szCs w:val="24"/>
        </w:rPr>
        <w:t xml:space="preserve"> прогноза).</w:t>
      </w:r>
    </w:p>
    <w:p w:rsidR="006D5FCF" w:rsidRPr="005319C7" w:rsidRDefault="006D5FCF" w:rsidP="00261A6E">
      <w:pPr>
        <w:pStyle w:val="1f0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D5FCF" w:rsidRPr="00792023" w:rsidRDefault="006D5FCF" w:rsidP="00261A6E">
      <w:pPr>
        <w:pStyle w:val="1f0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023">
        <w:rPr>
          <w:rFonts w:ascii="Times New Roman" w:hAnsi="Times New Roman" w:cs="Times New Roman"/>
          <w:b/>
          <w:sz w:val="24"/>
          <w:szCs w:val="24"/>
        </w:rPr>
        <w:t>Малое и среднее предпринимательство</w:t>
      </w:r>
      <w:bookmarkStart w:id="2" w:name="пред"/>
      <w:bookmarkEnd w:id="2"/>
    </w:p>
    <w:p w:rsidR="006D5FCF" w:rsidRPr="00792023" w:rsidRDefault="006D5FCF" w:rsidP="00261A6E">
      <w:pPr>
        <w:pStyle w:val="1f0"/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67A" w:rsidRPr="00792023" w:rsidRDefault="006D5FCF" w:rsidP="00261A6E">
      <w:pPr>
        <w:pStyle w:val="aff8"/>
        <w:spacing w:before="0" w:line="276" w:lineRule="auto"/>
        <w:ind w:left="0" w:right="0" w:firstLine="709"/>
        <w:jc w:val="both"/>
        <w:rPr>
          <w:sz w:val="24"/>
          <w:szCs w:val="24"/>
          <w:lang w:eastAsia="zh-CN"/>
        </w:rPr>
      </w:pPr>
      <w:r w:rsidRPr="00792023">
        <w:rPr>
          <w:sz w:val="24"/>
          <w:szCs w:val="24"/>
          <w:lang w:eastAsia="zh-CN"/>
        </w:rPr>
        <w:t xml:space="preserve">Сведения о количестве субъектов малого и среднего предпринимательства </w:t>
      </w:r>
      <w:r w:rsidR="00792023">
        <w:rPr>
          <w:sz w:val="24"/>
          <w:szCs w:val="24"/>
          <w:lang w:eastAsia="zh-CN"/>
        </w:rPr>
        <w:t xml:space="preserve">(далее </w:t>
      </w:r>
      <w:r w:rsidR="0078642D">
        <w:rPr>
          <w:sz w:val="24"/>
          <w:szCs w:val="24"/>
          <w:lang w:eastAsia="zh-CN"/>
        </w:rPr>
        <w:t xml:space="preserve">по разделу </w:t>
      </w:r>
      <w:r w:rsidR="00792023">
        <w:rPr>
          <w:sz w:val="24"/>
          <w:szCs w:val="24"/>
          <w:lang w:eastAsia="zh-CN"/>
        </w:rPr>
        <w:t xml:space="preserve">– СМСП) </w:t>
      </w:r>
      <w:r w:rsidRPr="00792023">
        <w:rPr>
          <w:sz w:val="24"/>
          <w:szCs w:val="24"/>
          <w:lang w:eastAsia="zh-CN"/>
        </w:rPr>
        <w:t>в городском округе Тольятти получены на основании данных, содержащихся в Едином реестре субъектов малого и среднего предпринимательства (далее по разделу – Реестр)</w:t>
      </w:r>
      <w:r w:rsidR="00792023">
        <w:rPr>
          <w:sz w:val="24"/>
          <w:szCs w:val="24"/>
          <w:lang w:eastAsia="zh-CN"/>
        </w:rPr>
        <w:t>, в свободном доступе в сети «Интернет» на сайте ФНС России</w:t>
      </w:r>
      <w:r w:rsidRPr="00792023">
        <w:rPr>
          <w:sz w:val="24"/>
          <w:szCs w:val="24"/>
          <w:lang w:eastAsia="zh-CN"/>
        </w:rPr>
        <w:t>.</w:t>
      </w:r>
      <w:r w:rsidR="00792023">
        <w:rPr>
          <w:sz w:val="24"/>
          <w:szCs w:val="24"/>
          <w:lang w:eastAsia="zh-CN"/>
        </w:rPr>
        <w:t xml:space="preserve"> </w:t>
      </w:r>
      <w:r w:rsidRPr="00792023">
        <w:rPr>
          <w:sz w:val="24"/>
          <w:szCs w:val="24"/>
          <w:lang w:eastAsia="zh-CN"/>
        </w:rPr>
        <w:t xml:space="preserve">При ведении Реестра предусмотрено ежемесячное (10 числа каждого месяца) обновление сведений о </w:t>
      </w:r>
      <w:r w:rsidR="00792023" w:rsidRPr="00792023">
        <w:rPr>
          <w:sz w:val="24"/>
          <w:szCs w:val="24"/>
          <w:lang w:eastAsia="zh-CN"/>
        </w:rPr>
        <w:t>СМСП.</w:t>
      </w:r>
      <w:r w:rsidR="00651F5A" w:rsidRPr="00651F5A">
        <w:t xml:space="preserve"> </w:t>
      </w:r>
      <w:r w:rsidR="00651F5A" w:rsidRPr="00651F5A">
        <w:rPr>
          <w:sz w:val="24"/>
          <w:szCs w:val="24"/>
          <w:lang w:eastAsia="zh-CN"/>
        </w:rPr>
        <w:t xml:space="preserve">Сведения о принадлежности хозяйствующего субъекта к категории </w:t>
      </w:r>
      <w:r w:rsidR="00742686">
        <w:rPr>
          <w:sz w:val="24"/>
          <w:szCs w:val="24"/>
          <w:lang w:eastAsia="zh-CN"/>
        </w:rPr>
        <w:t>СМСП</w:t>
      </w:r>
      <w:r w:rsidR="00651F5A" w:rsidRPr="00651F5A">
        <w:rPr>
          <w:sz w:val="24"/>
          <w:szCs w:val="24"/>
          <w:lang w:eastAsia="zh-CN"/>
        </w:rPr>
        <w:t xml:space="preserve"> обновляются </w:t>
      </w:r>
      <w:r w:rsidR="00651F5A">
        <w:rPr>
          <w:sz w:val="24"/>
          <w:szCs w:val="24"/>
          <w:lang w:eastAsia="zh-CN"/>
        </w:rPr>
        <w:t xml:space="preserve">налоговыми органами ежегодно </w:t>
      </w:r>
      <w:r w:rsidR="00651F5A" w:rsidRPr="00651F5A">
        <w:rPr>
          <w:sz w:val="24"/>
          <w:szCs w:val="24"/>
          <w:lang w:eastAsia="zh-CN"/>
        </w:rPr>
        <w:t>10 августа.</w:t>
      </w:r>
    </w:p>
    <w:p w:rsidR="006D5FCF" w:rsidRPr="00792023" w:rsidRDefault="006D5FCF" w:rsidP="00261A6E">
      <w:pPr>
        <w:pStyle w:val="aff8"/>
        <w:spacing w:before="0" w:line="276" w:lineRule="auto"/>
        <w:ind w:left="0" w:right="0" w:firstLine="709"/>
        <w:jc w:val="both"/>
        <w:rPr>
          <w:sz w:val="24"/>
          <w:szCs w:val="24"/>
          <w:lang w:eastAsia="zh-CN"/>
        </w:rPr>
      </w:pPr>
      <w:r w:rsidRPr="00792023">
        <w:rPr>
          <w:sz w:val="24"/>
          <w:szCs w:val="24"/>
          <w:lang w:eastAsia="zh-CN"/>
        </w:rPr>
        <w:t>Стоит отметить, что Реестр позволяет сформировать достаточно ограниченную информацию и не предусматривает возможность получения данных о среднесписочной численности и выручке СМСП (обороте СМСП).</w:t>
      </w:r>
    </w:p>
    <w:p w:rsidR="00D26531" w:rsidRPr="00792023" w:rsidRDefault="006D5FCF" w:rsidP="00261A6E">
      <w:pPr>
        <w:pStyle w:val="aff8"/>
        <w:spacing w:before="0" w:line="276" w:lineRule="auto"/>
        <w:ind w:left="0" w:right="0" w:firstLine="709"/>
        <w:jc w:val="both"/>
        <w:rPr>
          <w:sz w:val="24"/>
          <w:szCs w:val="24"/>
          <w:lang w:eastAsia="zh-CN"/>
        </w:rPr>
      </w:pPr>
      <w:r w:rsidRPr="00792023">
        <w:rPr>
          <w:sz w:val="24"/>
          <w:szCs w:val="24"/>
          <w:lang w:eastAsia="zh-CN"/>
        </w:rPr>
        <w:t>Таким образом, по данным Реестра, количество СМСП в городском округе Тольятти по состоянию на 31.12.201</w:t>
      </w:r>
      <w:r w:rsidR="00792023" w:rsidRPr="00792023">
        <w:rPr>
          <w:sz w:val="24"/>
          <w:szCs w:val="24"/>
          <w:lang w:eastAsia="zh-CN"/>
        </w:rPr>
        <w:t>8</w:t>
      </w:r>
      <w:r w:rsidRPr="00792023">
        <w:rPr>
          <w:sz w:val="24"/>
          <w:szCs w:val="24"/>
          <w:lang w:eastAsia="zh-CN"/>
        </w:rPr>
        <w:t xml:space="preserve"> (сведения получены 10.0</w:t>
      </w:r>
      <w:r w:rsidR="00792023">
        <w:rPr>
          <w:sz w:val="24"/>
          <w:szCs w:val="24"/>
          <w:lang w:eastAsia="zh-CN"/>
        </w:rPr>
        <w:t>8</w:t>
      </w:r>
      <w:r w:rsidRPr="00792023">
        <w:rPr>
          <w:sz w:val="24"/>
          <w:szCs w:val="24"/>
          <w:lang w:eastAsia="zh-CN"/>
        </w:rPr>
        <w:t>.201</w:t>
      </w:r>
      <w:r w:rsidR="00792023">
        <w:rPr>
          <w:sz w:val="24"/>
          <w:szCs w:val="24"/>
          <w:lang w:eastAsia="zh-CN"/>
        </w:rPr>
        <w:t>9</w:t>
      </w:r>
      <w:r w:rsidRPr="00792023">
        <w:rPr>
          <w:sz w:val="24"/>
          <w:szCs w:val="24"/>
          <w:lang w:eastAsia="zh-CN"/>
        </w:rPr>
        <w:t xml:space="preserve">), составило </w:t>
      </w:r>
      <w:r w:rsidR="00C612E7">
        <w:rPr>
          <w:sz w:val="24"/>
          <w:szCs w:val="24"/>
          <w:lang w:eastAsia="zh-CN"/>
        </w:rPr>
        <w:t>27,4</w:t>
      </w:r>
      <w:r w:rsidRPr="00792023">
        <w:rPr>
          <w:sz w:val="24"/>
          <w:szCs w:val="24"/>
          <w:lang w:eastAsia="zh-CN"/>
        </w:rPr>
        <w:t xml:space="preserve"> тыс. единиц.</w:t>
      </w:r>
      <w:r w:rsidR="004C7840" w:rsidRPr="00792023">
        <w:rPr>
          <w:sz w:val="24"/>
          <w:szCs w:val="24"/>
          <w:lang w:eastAsia="zh-CN"/>
        </w:rPr>
        <w:t xml:space="preserve"> </w:t>
      </w:r>
    </w:p>
    <w:p w:rsidR="00C45261" w:rsidRPr="00651F5A" w:rsidRDefault="00651F5A" w:rsidP="00651F5A">
      <w:pPr>
        <w:spacing w:line="276" w:lineRule="auto"/>
        <w:ind w:firstLine="709"/>
        <w:jc w:val="both"/>
        <w:rPr>
          <w:sz w:val="24"/>
          <w:szCs w:val="24"/>
        </w:rPr>
      </w:pPr>
      <w:r w:rsidRPr="00651F5A">
        <w:rPr>
          <w:sz w:val="24"/>
          <w:szCs w:val="24"/>
        </w:rPr>
        <w:t>В текущем году количество СМСП, включенных в Реестр, увеличилось и по состоянию на 10.0</w:t>
      </w:r>
      <w:r>
        <w:rPr>
          <w:sz w:val="24"/>
          <w:szCs w:val="24"/>
        </w:rPr>
        <w:t>8</w:t>
      </w:r>
      <w:r w:rsidRPr="00651F5A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651F5A">
        <w:rPr>
          <w:sz w:val="24"/>
          <w:szCs w:val="24"/>
        </w:rPr>
        <w:t xml:space="preserve"> составило </w:t>
      </w:r>
      <w:r>
        <w:rPr>
          <w:sz w:val="24"/>
          <w:szCs w:val="24"/>
        </w:rPr>
        <w:t xml:space="preserve">33,2 </w:t>
      </w:r>
      <w:r w:rsidRPr="00651F5A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D401F2">
        <w:rPr>
          <w:sz w:val="24"/>
          <w:szCs w:val="24"/>
        </w:rPr>
        <w:t xml:space="preserve"> </w:t>
      </w:r>
      <w:r w:rsidRPr="00651F5A">
        <w:rPr>
          <w:sz w:val="24"/>
          <w:szCs w:val="24"/>
        </w:rPr>
        <w:t xml:space="preserve">единиц (принято в качестве оценочного значения показателя </w:t>
      </w:r>
      <w:r>
        <w:rPr>
          <w:sz w:val="24"/>
          <w:szCs w:val="24"/>
        </w:rPr>
        <w:t>за</w:t>
      </w:r>
      <w:r w:rsidRPr="00651F5A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651F5A">
        <w:rPr>
          <w:sz w:val="24"/>
          <w:szCs w:val="24"/>
        </w:rPr>
        <w:t xml:space="preserve"> год), в том числе: 19</w:t>
      </w:r>
      <w:r>
        <w:rPr>
          <w:sz w:val="24"/>
          <w:szCs w:val="24"/>
        </w:rPr>
        <w:t>,0</w:t>
      </w:r>
      <w:r w:rsidRPr="00651F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</w:t>
      </w:r>
      <w:r w:rsidRPr="00651F5A">
        <w:rPr>
          <w:sz w:val="24"/>
          <w:szCs w:val="24"/>
        </w:rPr>
        <w:t xml:space="preserve">юридических лиц  и </w:t>
      </w:r>
      <w:r>
        <w:rPr>
          <w:sz w:val="24"/>
          <w:szCs w:val="24"/>
        </w:rPr>
        <w:t>14,2</w:t>
      </w:r>
      <w:r w:rsidRPr="00651F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</w:t>
      </w:r>
      <w:r w:rsidRPr="00651F5A">
        <w:rPr>
          <w:sz w:val="24"/>
          <w:szCs w:val="24"/>
        </w:rPr>
        <w:t>физических лиц (индивидуальных предпринимателей).</w:t>
      </w:r>
    </w:p>
    <w:p w:rsidR="00651F5A" w:rsidRDefault="00651F5A" w:rsidP="00DB5EA3">
      <w:pPr>
        <w:spacing w:line="276" w:lineRule="auto"/>
        <w:jc w:val="center"/>
        <w:rPr>
          <w:sz w:val="24"/>
          <w:szCs w:val="24"/>
        </w:rPr>
      </w:pPr>
    </w:p>
    <w:p w:rsidR="00DB5EA3" w:rsidRPr="00553AA4" w:rsidRDefault="00DB5EA3" w:rsidP="00DB5EA3">
      <w:pPr>
        <w:spacing w:line="276" w:lineRule="auto"/>
        <w:jc w:val="center"/>
        <w:rPr>
          <w:sz w:val="24"/>
          <w:szCs w:val="24"/>
        </w:rPr>
      </w:pPr>
      <w:r w:rsidRPr="00553AA4">
        <w:rPr>
          <w:sz w:val="24"/>
          <w:szCs w:val="24"/>
        </w:rPr>
        <w:t>Ожидаемое выполнение прогнозного показател</w:t>
      </w:r>
      <w:r w:rsidR="00C45939" w:rsidRPr="00553AA4">
        <w:rPr>
          <w:sz w:val="24"/>
          <w:szCs w:val="24"/>
        </w:rPr>
        <w:t>я</w:t>
      </w:r>
      <w:r w:rsidRPr="00553AA4">
        <w:rPr>
          <w:sz w:val="24"/>
          <w:szCs w:val="24"/>
        </w:rPr>
        <w:t xml:space="preserve"> </w:t>
      </w:r>
      <w:r w:rsidR="00C45939" w:rsidRPr="00553AA4">
        <w:rPr>
          <w:sz w:val="24"/>
          <w:szCs w:val="24"/>
        </w:rPr>
        <w:t>по разделу «М</w:t>
      </w:r>
      <w:r w:rsidR="00D26531" w:rsidRPr="00553AA4">
        <w:rPr>
          <w:sz w:val="24"/>
          <w:szCs w:val="24"/>
        </w:rPr>
        <w:t>ало</w:t>
      </w:r>
      <w:r w:rsidR="00C45939" w:rsidRPr="00553AA4">
        <w:rPr>
          <w:sz w:val="24"/>
          <w:szCs w:val="24"/>
        </w:rPr>
        <w:t>е</w:t>
      </w:r>
      <w:r w:rsidR="00D26531" w:rsidRPr="00553AA4">
        <w:rPr>
          <w:sz w:val="24"/>
          <w:szCs w:val="24"/>
        </w:rPr>
        <w:t xml:space="preserve"> и средне</w:t>
      </w:r>
      <w:r w:rsidR="00C45939" w:rsidRPr="00553AA4">
        <w:rPr>
          <w:sz w:val="24"/>
          <w:szCs w:val="24"/>
        </w:rPr>
        <w:t>е предпринимательство»</w:t>
      </w:r>
      <w:r w:rsidR="00D26531" w:rsidRPr="00553AA4">
        <w:rPr>
          <w:sz w:val="24"/>
          <w:szCs w:val="24"/>
        </w:rPr>
        <w:t xml:space="preserve"> </w:t>
      </w:r>
      <w:r w:rsidRPr="00553AA4">
        <w:rPr>
          <w:sz w:val="24"/>
          <w:szCs w:val="24"/>
        </w:rPr>
        <w:t>на 201</w:t>
      </w:r>
      <w:r w:rsidR="00553AA4">
        <w:rPr>
          <w:sz w:val="24"/>
          <w:szCs w:val="24"/>
        </w:rPr>
        <w:t>9</w:t>
      </w:r>
      <w:r w:rsidRPr="00553AA4">
        <w:rPr>
          <w:sz w:val="24"/>
          <w:szCs w:val="24"/>
        </w:rPr>
        <w:t xml:space="preserve"> год</w:t>
      </w:r>
    </w:p>
    <w:p w:rsidR="00DB5EA3" w:rsidRPr="005319C7" w:rsidRDefault="00DB5EA3" w:rsidP="00DB5EA3">
      <w:pPr>
        <w:spacing w:line="276" w:lineRule="auto"/>
        <w:jc w:val="center"/>
        <w:rPr>
          <w:sz w:val="24"/>
          <w:szCs w:val="24"/>
          <w:highlight w:val="yellow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1276"/>
        <w:gridCol w:w="1276"/>
        <w:gridCol w:w="1275"/>
        <w:gridCol w:w="1418"/>
      </w:tblGrid>
      <w:tr w:rsidR="00553AA4" w:rsidRPr="005319C7" w:rsidTr="00553AA4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AA4" w:rsidRPr="00553AA4" w:rsidRDefault="00553AA4" w:rsidP="00DB5EA3">
            <w:pPr>
              <w:snapToGrid w:val="0"/>
              <w:ind w:firstLine="5"/>
              <w:jc w:val="center"/>
              <w:rPr>
                <w:sz w:val="24"/>
                <w:szCs w:val="24"/>
              </w:rPr>
            </w:pPr>
          </w:p>
          <w:p w:rsidR="00553AA4" w:rsidRPr="00553AA4" w:rsidRDefault="00553AA4" w:rsidP="00DB5EA3">
            <w:pPr>
              <w:ind w:firstLine="5"/>
              <w:jc w:val="center"/>
              <w:rPr>
                <w:sz w:val="24"/>
                <w:szCs w:val="24"/>
              </w:rPr>
            </w:pPr>
            <w:r w:rsidRPr="00553AA4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AA4" w:rsidRPr="00553AA4" w:rsidRDefault="00553AA4" w:rsidP="00DB5EA3">
            <w:pPr>
              <w:ind w:firstLine="5"/>
              <w:jc w:val="center"/>
              <w:rPr>
                <w:sz w:val="24"/>
                <w:szCs w:val="24"/>
              </w:rPr>
            </w:pPr>
            <w:r w:rsidRPr="00553AA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AA4" w:rsidRPr="00553AA4" w:rsidRDefault="00553AA4" w:rsidP="00DB5EA3">
            <w:pPr>
              <w:jc w:val="center"/>
              <w:rPr>
                <w:sz w:val="24"/>
                <w:szCs w:val="24"/>
              </w:rPr>
            </w:pPr>
            <w:r w:rsidRPr="00553AA4">
              <w:rPr>
                <w:sz w:val="24"/>
                <w:szCs w:val="24"/>
              </w:rPr>
              <w:t>Прогноз на 201</w:t>
            </w:r>
            <w:r>
              <w:rPr>
                <w:sz w:val="24"/>
                <w:szCs w:val="24"/>
              </w:rPr>
              <w:t xml:space="preserve">9 </w:t>
            </w:r>
            <w:r w:rsidRPr="00553AA4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AA4" w:rsidRPr="00553AA4" w:rsidRDefault="00553AA4" w:rsidP="00553AA4">
            <w:pPr>
              <w:jc w:val="center"/>
              <w:rPr>
                <w:sz w:val="24"/>
                <w:szCs w:val="24"/>
              </w:rPr>
            </w:pPr>
            <w:r w:rsidRPr="00553AA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553AA4">
              <w:rPr>
                <w:sz w:val="24"/>
                <w:szCs w:val="24"/>
              </w:rPr>
              <w:t xml:space="preserve"> год (оценка)</w:t>
            </w:r>
          </w:p>
        </w:tc>
      </w:tr>
      <w:tr w:rsidR="00553AA4" w:rsidRPr="005319C7" w:rsidTr="00553AA4">
        <w:trPr>
          <w:trHeight w:val="24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AA4" w:rsidRPr="00553AA4" w:rsidRDefault="00553AA4" w:rsidP="00553AA4">
            <w:pPr>
              <w:snapToGrid w:val="0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AA4" w:rsidRPr="00553AA4" w:rsidRDefault="00553AA4" w:rsidP="00553AA4">
            <w:pPr>
              <w:snapToGrid w:val="0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AA4" w:rsidRDefault="00553AA4" w:rsidP="00553AA4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1 вариант (консерва</w:t>
            </w:r>
          </w:p>
          <w:p w:rsidR="00553AA4" w:rsidRPr="00F66BD8" w:rsidRDefault="00553AA4" w:rsidP="00553AA4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тивный)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AA4" w:rsidRPr="00F66BD8" w:rsidRDefault="00553AA4" w:rsidP="00553AA4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2 вариант</w:t>
            </w:r>
          </w:p>
          <w:p w:rsidR="00553AA4" w:rsidRPr="00F66BD8" w:rsidRDefault="00553AA4" w:rsidP="00553AA4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(базовый)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AA4" w:rsidRDefault="00553AA4" w:rsidP="00553AA4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 вариант</w:t>
            </w:r>
          </w:p>
          <w:p w:rsidR="00553AA4" w:rsidRPr="005319C7" w:rsidRDefault="00553AA4" w:rsidP="00553AA4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(целевой)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AA4" w:rsidRPr="00553AA4" w:rsidRDefault="00553AA4" w:rsidP="00553AA4">
            <w:pPr>
              <w:snapToGrid w:val="0"/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553AA4" w:rsidRPr="005319C7" w:rsidTr="00553AA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AA4" w:rsidRPr="00553AA4" w:rsidRDefault="00553AA4" w:rsidP="00DB5EA3">
            <w:pPr>
              <w:ind w:firstLine="5"/>
              <w:rPr>
                <w:sz w:val="24"/>
                <w:szCs w:val="24"/>
              </w:rPr>
            </w:pPr>
            <w:r w:rsidRPr="00553AA4">
              <w:rPr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AA4" w:rsidRPr="00553AA4" w:rsidRDefault="00553AA4" w:rsidP="00D26531">
            <w:pPr>
              <w:ind w:firstLine="5"/>
              <w:jc w:val="center"/>
              <w:rPr>
                <w:sz w:val="24"/>
                <w:szCs w:val="24"/>
              </w:rPr>
            </w:pPr>
            <w:r w:rsidRPr="00553AA4">
              <w:rPr>
                <w:sz w:val="24"/>
                <w:szCs w:val="24"/>
              </w:rPr>
              <w:t>тыс.</w:t>
            </w:r>
            <w:r w:rsidR="00067BA5">
              <w:rPr>
                <w:sz w:val="24"/>
                <w:szCs w:val="24"/>
              </w:rPr>
              <w:t xml:space="preserve"> </w:t>
            </w:r>
            <w:r w:rsidRPr="00553AA4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AA4" w:rsidRPr="00553AA4" w:rsidRDefault="00553AA4" w:rsidP="00DB5EA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AA4" w:rsidRPr="00553AA4" w:rsidRDefault="00553AA4" w:rsidP="00DB5EA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AA4" w:rsidRDefault="00553AA4" w:rsidP="00DB5EA3">
            <w:pPr>
              <w:ind w:firstLine="5"/>
              <w:jc w:val="center"/>
              <w:rPr>
                <w:sz w:val="24"/>
                <w:szCs w:val="24"/>
              </w:rPr>
            </w:pPr>
          </w:p>
          <w:p w:rsidR="00553AA4" w:rsidRPr="00553AA4" w:rsidRDefault="00553AA4" w:rsidP="00DB5EA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AA4" w:rsidRPr="00553AA4" w:rsidRDefault="00EC3AC0" w:rsidP="00DB5EA3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</w:tr>
    </w:tbl>
    <w:p w:rsidR="00DB5EA3" w:rsidRPr="005319C7" w:rsidRDefault="00DB5EA3" w:rsidP="00443EE9">
      <w:pPr>
        <w:pStyle w:val="aff8"/>
        <w:spacing w:before="0" w:line="276" w:lineRule="auto"/>
        <w:ind w:left="0" w:right="0" w:firstLine="709"/>
        <w:jc w:val="both"/>
        <w:rPr>
          <w:sz w:val="24"/>
          <w:szCs w:val="24"/>
          <w:highlight w:val="yellow"/>
          <w:lang w:eastAsia="zh-CN"/>
        </w:rPr>
      </w:pPr>
    </w:p>
    <w:p w:rsidR="00D26531" w:rsidRPr="00651F5A" w:rsidRDefault="00D26531" w:rsidP="00261A6E">
      <w:pPr>
        <w:pStyle w:val="aff8"/>
        <w:spacing w:before="0" w:line="276" w:lineRule="auto"/>
        <w:ind w:left="0" w:right="0" w:firstLine="709"/>
        <w:jc w:val="both"/>
        <w:rPr>
          <w:sz w:val="24"/>
          <w:szCs w:val="24"/>
          <w:lang w:eastAsia="zh-CN"/>
        </w:rPr>
      </w:pPr>
      <w:r w:rsidRPr="00651F5A">
        <w:rPr>
          <w:sz w:val="24"/>
          <w:szCs w:val="24"/>
          <w:lang w:eastAsia="zh-CN"/>
        </w:rPr>
        <w:t xml:space="preserve">Количество самой многочисленной категории СМСП - микропредприятий составило </w:t>
      </w:r>
      <w:r w:rsidR="00651F5A" w:rsidRPr="00651F5A">
        <w:rPr>
          <w:sz w:val="24"/>
          <w:szCs w:val="24"/>
          <w:lang w:eastAsia="zh-CN"/>
        </w:rPr>
        <w:t>17,8</w:t>
      </w:r>
      <w:r w:rsidRPr="00651F5A">
        <w:rPr>
          <w:sz w:val="24"/>
          <w:szCs w:val="24"/>
          <w:lang w:eastAsia="zh-CN"/>
        </w:rPr>
        <w:t xml:space="preserve"> </w:t>
      </w:r>
      <w:r w:rsidR="00651F5A" w:rsidRPr="00651F5A">
        <w:rPr>
          <w:sz w:val="24"/>
          <w:szCs w:val="24"/>
          <w:lang w:eastAsia="zh-CN"/>
        </w:rPr>
        <w:t>тыс.</w:t>
      </w:r>
      <w:r w:rsidR="00742686">
        <w:rPr>
          <w:sz w:val="24"/>
          <w:szCs w:val="24"/>
          <w:lang w:eastAsia="zh-CN"/>
        </w:rPr>
        <w:t xml:space="preserve"> </w:t>
      </w:r>
      <w:r w:rsidRPr="00651F5A">
        <w:rPr>
          <w:sz w:val="24"/>
          <w:szCs w:val="24"/>
          <w:lang w:eastAsia="zh-CN"/>
        </w:rPr>
        <w:t>единиц, малых предприятий – 1</w:t>
      </w:r>
      <w:r w:rsidR="00651F5A" w:rsidRPr="00651F5A">
        <w:rPr>
          <w:sz w:val="24"/>
          <w:szCs w:val="24"/>
          <w:lang w:eastAsia="zh-CN"/>
        </w:rPr>
        <w:t>,1</w:t>
      </w:r>
      <w:r w:rsidRPr="00651F5A">
        <w:rPr>
          <w:sz w:val="24"/>
          <w:szCs w:val="24"/>
          <w:lang w:eastAsia="zh-CN"/>
        </w:rPr>
        <w:t xml:space="preserve"> </w:t>
      </w:r>
      <w:r w:rsidR="00651F5A" w:rsidRPr="00651F5A">
        <w:rPr>
          <w:sz w:val="24"/>
          <w:szCs w:val="24"/>
          <w:lang w:eastAsia="zh-CN"/>
        </w:rPr>
        <w:t>тыс.</w:t>
      </w:r>
      <w:r w:rsidR="00742686">
        <w:rPr>
          <w:sz w:val="24"/>
          <w:szCs w:val="24"/>
          <w:lang w:eastAsia="zh-CN"/>
        </w:rPr>
        <w:t xml:space="preserve"> </w:t>
      </w:r>
      <w:r w:rsidRPr="00651F5A">
        <w:rPr>
          <w:sz w:val="24"/>
          <w:szCs w:val="24"/>
          <w:lang w:eastAsia="zh-CN"/>
        </w:rPr>
        <w:t xml:space="preserve">единиц, средних предприятий – </w:t>
      </w:r>
      <w:r w:rsidR="00651F5A" w:rsidRPr="00651F5A">
        <w:rPr>
          <w:sz w:val="24"/>
          <w:szCs w:val="24"/>
          <w:lang w:eastAsia="zh-CN"/>
        </w:rPr>
        <w:t>0,07</w:t>
      </w:r>
      <w:r w:rsidRPr="00651F5A">
        <w:rPr>
          <w:sz w:val="24"/>
          <w:szCs w:val="24"/>
          <w:lang w:eastAsia="zh-CN"/>
        </w:rPr>
        <w:t xml:space="preserve"> </w:t>
      </w:r>
      <w:r w:rsidR="00651F5A" w:rsidRPr="00651F5A">
        <w:rPr>
          <w:sz w:val="24"/>
          <w:szCs w:val="24"/>
          <w:lang w:eastAsia="zh-CN"/>
        </w:rPr>
        <w:t>тыс.</w:t>
      </w:r>
      <w:r w:rsidR="00067BA5">
        <w:rPr>
          <w:sz w:val="24"/>
          <w:szCs w:val="24"/>
          <w:lang w:eastAsia="zh-CN"/>
        </w:rPr>
        <w:t xml:space="preserve"> </w:t>
      </w:r>
      <w:r w:rsidRPr="00651F5A">
        <w:rPr>
          <w:sz w:val="24"/>
          <w:szCs w:val="24"/>
          <w:lang w:eastAsia="zh-CN"/>
        </w:rPr>
        <w:t>единиц.</w:t>
      </w:r>
    </w:p>
    <w:p w:rsidR="00344442" w:rsidRDefault="00344442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344442">
        <w:rPr>
          <w:sz w:val="24"/>
          <w:szCs w:val="24"/>
        </w:rPr>
        <w:t>Больше всего малых предприятий городского округа Тольятти заняты оптовой и розничной торговлей, ремонтом автотранспортных средств и мотоциклов (</w:t>
      </w:r>
      <w:r w:rsidR="00067BA5">
        <w:rPr>
          <w:sz w:val="24"/>
          <w:szCs w:val="24"/>
        </w:rPr>
        <w:t xml:space="preserve">более </w:t>
      </w:r>
      <w:r w:rsidRPr="00344442">
        <w:rPr>
          <w:sz w:val="24"/>
          <w:szCs w:val="24"/>
        </w:rPr>
        <w:t>33</w:t>
      </w:r>
      <w:r w:rsidR="00D0645A">
        <w:rPr>
          <w:sz w:val="24"/>
          <w:szCs w:val="24"/>
        </w:rPr>
        <w:t>,0</w:t>
      </w:r>
      <w:r w:rsidRPr="00344442">
        <w:rPr>
          <w:sz w:val="24"/>
          <w:szCs w:val="24"/>
        </w:rPr>
        <w:t xml:space="preserve">%). Привлекательность данной отрасли обусловлена высокой оборачиваемостью капитала и низкими расходами на обслуживание бизнеса. </w:t>
      </w:r>
    </w:p>
    <w:p w:rsidR="0078642D" w:rsidRDefault="00344442" w:rsidP="00261A6E">
      <w:pPr>
        <w:pStyle w:val="aff0"/>
        <w:spacing w:line="276" w:lineRule="auto"/>
        <w:rPr>
          <w:sz w:val="24"/>
          <w:szCs w:val="24"/>
        </w:rPr>
      </w:pPr>
      <w:r w:rsidRPr="00344442">
        <w:rPr>
          <w:sz w:val="24"/>
          <w:szCs w:val="24"/>
        </w:rPr>
        <w:t>За 1 полугодие 2019 год в бюджетную систему от СМСП поступило налогов в сумме 959,</w:t>
      </w:r>
      <w:r w:rsidR="00CB7E97">
        <w:rPr>
          <w:sz w:val="24"/>
          <w:szCs w:val="24"/>
        </w:rPr>
        <w:t>8</w:t>
      </w:r>
      <w:r w:rsidRPr="00344442">
        <w:rPr>
          <w:sz w:val="24"/>
          <w:szCs w:val="24"/>
        </w:rPr>
        <w:t xml:space="preserve"> млн. рублей, в том числе единый налог на вмененный доход – 140,5 млн. рублей (на 11,6% меньше, чем за 1 полугодие 2018 года), патентная сист</w:t>
      </w:r>
      <w:r w:rsidR="00067BA5">
        <w:rPr>
          <w:sz w:val="24"/>
          <w:szCs w:val="24"/>
        </w:rPr>
        <w:t xml:space="preserve">ема налогообложения – 11,1 млн. </w:t>
      </w:r>
      <w:r w:rsidRPr="00344442">
        <w:rPr>
          <w:sz w:val="24"/>
          <w:szCs w:val="24"/>
        </w:rPr>
        <w:t>рублей (на 18</w:t>
      </w:r>
      <w:r w:rsidR="00D0645A">
        <w:rPr>
          <w:sz w:val="24"/>
          <w:szCs w:val="24"/>
        </w:rPr>
        <w:t>,0</w:t>
      </w:r>
      <w:r w:rsidRPr="00344442">
        <w:rPr>
          <w:sz w:val="24"/>
          <w:szCs w:val="24"/>
        </w:rPr>
        <w:t xml:space="preserve">% больше), по упрощенной системе налогообложения 786,4 млн. рублей (на 16,1% больше), налог на доходы физических лиц с доходов, полученных от </w:t>
      </w:r>
      <w:r w:rsidRPr="00344442">
        <w:rPr>
          <w:sz w:val="24"/>
          <w:szCs w:val="24"/>
        </w:rPr>
        <w:lastRenderedPageBreak/>
        <w:t>осуществления деятельности физическими лицами (индивидуальные предприниматели; статья 227 Налогового кодекса Российской Федерации) – 21,9 млн. рублей (на 15,9% больше).</w:t>
      </w:r>
      <w:r w:rsidR="0078642D">
        <w:rPr>
          <w:sz w:val="24"/>
          <w:szCs w:val="24"/>
        </w:rPr>
        <w:t xml:space="preserve"> </w:t>
      </w:r>
    </w:p>
    <w:p w:rsidR="00EA521F" w:rsidRDefault="00EA521F" w:rsidP="00261A6E">
      <w:pPr>
        <w:pStyle w:val="aff0"/>
        <w:spacing w:line="276" w:lineRule="auto"/>
        <w:rPr>
          <w:sz w:val="24"/>
          <w:szCs w:val="24"/>
        </w:rPr>
      </w:pPr>
      <w:r w:rsidRPr="00EA521F">
        <w:rPr>
          <w:sz w:val="24"/>
          <w:szCs w:val="24"/>
        </w:rPr>
        <w:t xml:space="preserve">В 2019 году на территории городского округа Тольятти продолжена реализация мероприятий по созданию условий для развития </w:t>
      </w:r>
      <w:r w:rsidR="00067BA5">
        <w:rPr>
          <w:sz w:val="24"/>
          <w:szCs w:val="24"/>
        </w:rPr>
        <w:t>СМСП</w:t>
      </w:r>
      <w:r w:rsidRPr="00EA521F">
        <w:rPr>
          <w:sz w:val="24"/>
          <w:szCs w:val="24"/>
        </w:rPr>
        <w:t xml:space="preserve">  в рамках муниципальной программы городского округа Тольятти «Развитие малого и среднего предпринимательства городского округа Тольятти на 2018-2022 годы», утвержденной постановлением </w:t>
      </w:r>
      <w:r w:rsidR="00860DA6">
        <w:rPr>
          <w:sz w:val="24"/>
          <w:szCs w:val="24"/>
        </w:rPr>
        <w:t>администрации</w:t>
      </w:r>
      <w:r w:rsidRPr="00EA521F">
        <w:rPr>
          <w:sz w:val="24"/>
          <w:szCs w:val="24"/>
        </w:rPr>
        <w:t xml:space="preserve"> городского округа Тольятти от 28.08.2017 № 2917-п/1 (далее по разделу – Программа).  </w:t>
      </w:r>
    </w:p>
    <w:p w:rsidR="006B02C5" w:rsidRPr="006F3114" w:rsidRDefault="006B02C5" w:rsidP="00805C4B">
      <w:pPr>
        <w:pStyle w:val="aff0"/>
        <w:spacing w:line="276" w:lineRule="auto"/>
        <w:rPr>
          <w:sz w:val="24"/>
          <w:szCs w:val="24"/>
        </w:rPr>
      </w:pPr>
      <w:r w:rsidRPr="00EA521F">
        <w:rPr>
          <w:sz w:val="24"/>
          <w:szCs w:val="24"/>
        </w:rPr>
        <w:t>Объем финансирования Программы на 201</w:t>
      </w:r>
      <w:r w:rsidR="00EA521F" w:rsidRPr="00EA521F">
        <w:rPr>
          <w:sz w:val="24"/>
          <w:szCs w:val="24"/>
        </w:rPr>
        <w:t>9</w:t>
      </w:r>
      <w:r w:rsidRPr="00EA521F">
        <w:rPr>
          <w:sz w:val="24"/>
          <w:szCs w:val="24"/>
        </w:rPr>
        <w:t xml:space="preserve"> год составил </w:t>
      </w:r>
      <w:r w:rsidR="00805C4B">
        <w:rPr>
          <w:sz w:val="24"/>
          <w:szCs w:val="24"/>
        </w:rPr>
        <w:t>70 399,2 тыс. рублей, в том числе за счет м</w:t>
      </w:r>
      <w:r w:rsidR="00805C4B" w:rsidRPr="00805C4B">
        <w:rPr>
          <w:sz w:val="24"/>
          <w:szCs w:val="24"/>
        </w:rPr>
        <w:t>естн</w:t>
      </w:r>
      <w:r w:rsidR="00805C4B">
        <w:rPr>
          <w:sz w:val="24"/>
          <w:szCs w:val="24"/>
        </w:rPr>
        <w:t>ого</w:t>
      </w:r>
      <w:r w:rsidR="00805C4B" w:rsidRPr="00805C4B">
        <w:rPr>
          <w:sz w:val="24"/>
          <w:szCs w:val="24"/>
        </w:rPr>
        <w:t xml:space="preserve"> бюджет</w:t>
      </w:r>
      <w:r w:rsidR="00805C4B">
        <w:rPr>
          <w:sz w:val="24"/>
          <w:szCs w:val="24"/>
        </w:rPr>
        <w:t>а</w:t>
      </w:r>
      <w:r w:rsidR="00805C4B" w:rsidRPr="00805C4B">
        <w:rPr>
          <w:sz w:val="24"/>
          <w:szCs w:val="24"/>
        </w:rPr>
        <w:t xml:space="preserve"> – 40 577,0 тыс.</w:t>
      </w:r>
      <w:r w:rsidR="00805C4B">
        <w:rPr>
          <w:sz w:val="24"/>
          <w:szCs w:val="24"/>
        </w:rPr>
        <w:t xml:space="preserve"> </w:t>
      </w:r>
      <w:r w:rsidR="00805C4B" w:rsidRPr="00805C4B">
        <w:rPr>
          <w:sz w:val="24"/>
          <w:szCs w:val="24"/>
        </w:rPr>
        <w:t>руб</w:t>
      </w:r>
      <w:r w:rsidR="00805C4B">
        <w:rPr>
          <w:sz w:val="24"/>
          <w:szCs w:val="24"/>
        </w:rPr>
        <w:t>лей, за счет о</w:t>
      </w:r>
      <w:r w:rsidR="00805C4B" w:rsidRPr="00805C4B">
        <w:rPr>
          <w:sz w:val="24"/>
          <w:szCs w:val="24"/>
        </w:rPr>
        <w:t>бластно</w:t>
      </w:r>
      <w:r w:rsidR="00805C4B">
        <w:rPr>
          <w:sz w:val="24"/>
          <w:szCs w:val="24"/>
        </w:rPr>
        <w:t>го бюджета</w:t>
      </w:r>
      <w:r w:rsidR="00805C4B" w:rsidRPr="00805C4B">
        <w:rPr>
          <w:sz w:val="24"/>
          <w:szCs w:val="24"/>
        </w:rPr>
        <w:t xml:space="preserve"> -12 622,2 тыс. руб</w:t>
      </w:r>
      <w:r w:rsidR="00805C4B">
        <w:rPr>
          <w:sz w:val="24"/>
          <w:szCs w:val="24"/>
        </w:rPr>
        <w:t>лей, за счет ф</w:t>
      </w:r>
      <w:r w:rsidR="00805C4B" w:rsidRPr="00805C4B">
        <w:rPr>
          <w:sz w:val="24"/>
          <w:szCs w:val="24"/>
        </w:rPr>
        <w:t>едеральн</w:t>
      </w:r>
      <w:r w:rsidR="00805C4B">
        <w:rPr>
          <w:sz w:val="24"/>
          <w:szCs w:val="24"/>
        </w:rPr>
        <w:t>ого бюджета</w:t>
      </w:r>
      <w:r w:rsidR="00805C4B" w:rsidRPr="00805C4B">
        <w:rPr>
          <w:sz w:val="24"/>
          <w:szCs w:val="24"/>
        </w:rPr>
        <w:t xml:space="preserve"> - 17 200,0 тыс.</w:t>
      </w:r>
      <w:r w:rsidR="00805C4B">
        <w:rPr>
          <w:sz w:val="24"/>
          <w:szCs w:val="24"/>
        </w:rPr>
        <w:t xml:space="preserve"> </w:t>
      </w:r>
      <w:r w:rsidR="00805C4B" w:rsidRPr="00805C4B">
        <w:rPr>
          <w:sz w:val="24"/>
          <w:szCs w:val="24"/>
        </w:rPr>
        <w:t>руб</w:t>
      </w:r>
      <w:r w:rsidR="00805C4B">
        <w:rPr>
          <w:sz w:val="24"/>
          <w:szCs w:val="24"/>
        </w:rPr>
        <w:t>лей.</w:t>
      </w:r>
      <w:r w:rsidR="00C12B13" w:rsidRPr="00C12B13">
        <w:rPr>
          <w:sz w:val="24"/>
          <w:szCs w:val="24"/>
        </w:rPr>
        <w:t xml:space="preserve"> </w:t>
      </w:r>
      <w:r w:rsidR="00805C4B">
        <w:rPr>
          <w:sz w:val="24"/>
          <w:szCs w:val="24"/>
        </w:rPr>
        <w:t>По состоянию</w:t>
      </w:r>
      <w:r w:rsidRPr="00C12B13">
        <w:rPr>
          <w:sz w:val="24"/>
          <w:szCs w:val="24"/>
        </w:rPr>
        <w:t xml:space="preserve"> </w:t>
      </w:r>
      <w:r w:rsidR="00C12B13">
        <w:rPr>
          <w:sz w:val="24"/>
          <w:szCs w:val="24"/>
        </w:rPr>
        <w:t>на 01.07.2019 освоено</w:t>
      </w:r>
      <w:r w:rsidR="006F3114" w:rsidRPr="006F3114">
        <w:rPr>
          <w:sz w:val="24"/>
          <w:szCs w:val="24"/>
        </w:rPr>
        <w:t xml:space="preserve"> 13</w:t>
      </w:r>
      <w:r w:rsidR="006F3114">
        <w:rPr>
          <w:sz w:val="24"/>
          <w:szCs w:val="24"/>
          <w:lang w:val="en-US"/>
        </w:rPr>
        <w:t> </w:t>
      </w:r>
      <w:r w:rsidR="006F3114" w:rsidRPr="006F3114">
        <w:rPr>
          <w:sz w:val="24"/>
          <w:szCs w:val="24"/>
        </w:rPr>
        <w:t>388,6</w:t>
      </w:r>
      <w:r w:rsidR="00C12B13" w:rsidRPr="006F3114">
        <w:rPr>
          <w:sz w:val="24"/>
          <w:szCs w:val="24"/>
        </w:rPr>
        <w:t xml:space="preserve"> тыс.</w:t>
      </w:r>
      <w:r w:rsidR="00067BA5">
        <w:rPr>
          <w:sz w:val="24"/>
          <w:szCs w:val="24"/>
        </w:rPr>
        <w:t xml:space="preserve"> </w:t>
      </w:r>
      <w:r w:rsidR="00C12B13" w:rsidRPr="006F3114">
        <w:rPr>
          <w:sz w:val="24"/>
          <w:szCs w:val="24"/>
        </w:rPr>
        <w:t>рублей</w:t>
      </w:r>
      <w:r w:rsidR="00C12B13">
        <w:rPr>
          <w:sz w:val="24"/>
          <w:szCs w:val="24"/>
        </w:rPr>
        <w:t xml:space="preserve"> (</w:t>
      </w:r>
      <w:r w:rsidR="00C12B13" w:rsidRPr="006F3114">
        <w:rPr>
          <w:sz w:val="24"/>
          <w:szCs w:val="24"/>
        </w:rPr>
        <w:t xml:space="preserve">на 01.10.2019 освоено  </w:t>
      </w:r>
      <w:r w:rsidR="006F3114">
        <w:rPr>
          <w:sz w:val="24"/>
          <w:szCs w:val="24"/>
        </w:rPr>
        <w:t>23 228,0</w:t>
      </w:r>
      <w:r w:rsidR="00C12B13" w:rsidRPr="006F3114">
        <w:rPr>
          <w:sz w:val="24"/>
          <w:szCs w:val="24"/>
        </w:rPr>
        <w:t xml:space="preserve"> тыс. рублей)</w:t>
      </w:r>
      <w:r w:rsidRPr="006F3114">
        <w:rPr>
          <w:sz w:val="24"/>
          <w:szCs w:val="24"/>
        </w:rPr>
        <w:t>.</w:t>
      </w:r>
    </w:p>
    <w:p w:rsidR="00EA521F" w:rsidRDefault="00EA521F" w:rsidP="00261A6E">
      <w:pPr>
        <w:pStyle w:val="afb"/>
        <w:spacing w:line="276" w:lineRule="auto"/>
        <w:ind w:left="0" w:firstLine="709"/>
        <w:jc w:val="both"/>
        <w:rPr>
          <w:szCs w:val="24"/>
        </w:rPr>
      </w:pPr>
      <w:r w:rsidRPr="00EA521F">
        <w:rPr>
          <w:szCs w:val="24"/>
        </w:rPr>
        <w:t xml:space="preserve">Муниципальным фондом поддержки и развития субъектов малого и среднего предпринимательства микрокредитная компания городского округа Тольятти </w:t>
      </w:r>
      <w:r w:rsidR="0009173C" w:rsidRPr="0009173C">
        <w:rPr>
          <w:szCs w:val="24"/>
        </w:rPr>
        <w:t>(</w:t>
      </w:r>
      <w:r w:rsidR="0009173C">
        <w:rPr>
          <w:szCs w:val="24"/>
        </w:rPr>
        <w:t>далее</w:t>
      </w:r>
      <w:r w:rsidR="00067BA5">
        <w:rPr>
          <w:szCs w:val="24"/>
        </w:rPr>
        <w:t xml:space="preserve"> по разделу</w:t>
      </w:r>
      <w:r w:rsidR="0009173C">
        <w:rPr>
          <w:szCs w:val="24"/>
        </w:rPr>
        <w:t xml:space="preserve"> - Муниципальный фонд</w:t>
      </w:r>
      <w:r w:rsidR="0009173C" w:rsidRPr="0009173C">
        <w:rPr>
          <w:szCs w:val="24"/>
        </w:rPr>
        <w:t>)</w:t>
      </w:r>
      <w:r w:rsidRPr="00EA521F">
        <w:rPr>
          <w:szCs w:val="24"/>
        </w:rPr>
        <w:t xml:space="preserve"> предоставляются Целевые займы  сроком до 2 лет, сумма займа до 2 000,0 тыс. рублей, процентная ставка 10% годовых. Займы предоставляются для развития собственного бизнеса, пополнения оборотных средств, приобретения оборудования на возвратной и возмездной основе. </w:t>
      </w:r>
      <w:r w:rsidR="0009173C" w:rsidRPr="0009173C">
        <w:rPr>
          <w:szCs w:val="24"/>
        </w:rPr>
        <w:t xml:space="preserve">За </w:t>
      </w:r>
      <w:r w:rsidR="006F3114">
        <w:rPr>
          <w:szCs w:val="24"/>
        </w:rPr>
        <w:t>1</w:t>
      </w:r>
      <w:r w:rsidR="0009173C" w:rsidRPr="0009173C">
        <w:rPr>
          <w:szCs w:val="24"/>
        </w:rPr>
        <w:t xml:space="preserve"> полугодие 2019 года Муниципальным фондом  выдано 11 займов на сумму 14 057,0 тыс. рублей (</w:t>
      </w:r>
      <w:r w:rsidR="006F3114">
        <w:rPr>
          <w:szCs w:val="24"/>
        </w:rPr>
        <w:t>на 01.10.2019 –</w:t>
      </w:r>
      <w:r w:rsidRPr="00EA521F">
        <w:rPr>
          <w:szCs w:val="24"/>
        </w:rPr>
        <w:t xml:space="preserve"> </w:t>
      </w:r>
      <w:r w:rsidR="006F3114">
        <w:rPr>
          <w:szCs w:val="24"/>
        </w:rPr>
        <w:t xml:space="preserve">20 займов </w:t>
      </w:r>
      <w:r w:rsidRPr="00EA521F">
        <w:rPr>
          <w:szCs w:val="24"/>
        </w:rPr>
        <w:t xml:space="preserve">на общую сумму </w:t>
      </w:r>
      <w:r w:rsidR="006F3114">
        <w:rPr>
          <w:szCs w:val="24"/>
        </w:rPr>
        <w:t>26 250,0</w:t>
      </w:r>
      <w:r w:rsidRPr="00EA521F">
        <w:rPr>
          <w:szCs w:val="24"/>
        </w:rPr>
        <w:t xml:space="preserve"> тыс. рублей</w:t>
      </w:r>
      <w:r w:rsidR="0009173C" w:rsidRPr="0009173C">
        <w:rPr>
          <w:szCs w:val="24"/>
        </w:rPr>
        <w:t>)</w:t>
      </w:r>
      <w:r w:rsidRPr="00EA521F">
        <w:rPr>
          <w:szCs w:val="24"/>
        </w:rPr>
        <w:t>.</w:t>
      </w:r>
    </w:p>
    <w:p w:rsidR="006B02C5" w:rsidRPr="00EA521F" w:rsidRDefault="006B02C5" w:rsidP="00261A6E">
      <w:pPr>
        <w:pStyle w:val="afb"/>
        <w:spacing w:line="276" w:lineRule="auto"/>
        <w:ind w:left="0" w:firstLine="709"/>
        <w:jc w:val="both"/>
        <w:rPr>
          <w:szCs w:val="24"/>
        </w:rPr>
      </w:pPr>
      <w:r w:rsidRPr="00EA521F">
        <w:rPr>
          <w:szCs w:val="24"/>
        </w:rPr>
        <w:t xml:space="preserve">В целях развития инфраструктуры поддержки </w:t>
      </w:r>
      <w:r w:rsidR="00264FBD" w:rsidRPr="00EA521F">
        <w:rPr>
          <w:szCs w:val="24"/>
        </w:rPr>
        <w:t>С</w:t>
      </w:r>
      <w:r w:rsidRPr="00EA521F">
        <w:rPr>
          <w:szCs w:val="24"/>
        </w:rPr>
        <w:t xml:space="preserve">МСП в городском округе Тольятти осуществляет свою деятельность Тольяттинский бизнес-инкубатор (управляющая компания муниципальное автономное учреждение городского округа Тольятти «Агентство экономического развития» </w:t>
      </w:r>
      <w:r w:rsidR="00687003" w:rsidRPr="00EA521F">
        <w:rPr>
          <w:szCs w:val="24"/>
        </w:rPr>
        <w:t>(</w:t>
      </w:r>
      <w:r w:rsidRPr="00EA521F">
        <w:rPr>
          <w:szCs w:val="24"/>
        </w:rPr>
        <w:t xml:space="preserve">далее </w:t>
      </w:r>
      <w:r w:rsidR="00687003" w:rsidRPr="00EA521F">
        <w:rPr>
          <w:szCs w:val="24"/>
        </w:rPr>
        <w:t xml:space="preserve">по разделу </w:t>
      </w:r>
      <w:r w:rsidRPr="00EA521F">
        <w:rPr>
          <w:szCs w:val="24"/>
        </w:rPr>
        <w:t>– МАУ «АЭР»), который выполняет функции по отбору, размещению и всесторонней поддержке начинающих и действующих предпринимателей.</w:t>
      </w:r>
    </w:p>
    <w:p w:rsidR="00EA521F" w:rsidRDefault="00EA521F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EA521F">
        <w:rPr>
          <w:sz w:val="24"/>
          <w:szCs w:val="24"/>
        </w:rPr>
        <w:t xml:space="preserve">На территории  бизнес-инкубатора Тольятти </w:t>
      </w:r>
      <w:r w:rsidR="00067BA5">
        <w:rPr>
          <w:sz w:val="24"/>
          <w:szCs w:val="24"/>
        </w:rPr>
        <w:t xml:space="preserve">на </w:t>
      </w:r>
      <w:r w:rsidR="004A47C7">
        <w:rPr>
          <w:sz w:val="24"/>
          <w:szCs w:val="24"/>
        </w:rPr>
        <w:t>01</w:t>
      </w:r>
      <w:r w:rsidR="00067BA5">
        <w:rPr>
          <w:sz w:val="24"/>
          <w:szCs w:val="24"/>
        </w:rPr>
        <w:t>.0</w:t>
      </w:r>
      <w:r w:rsidR="004A47C7">
        <w:rPr>
          <w:sz w:val="24"/>
          <w:szCs w:val="24"/>
        </w:rPr>
        <w:t>7</w:t>
      </w:r>
      <w:r w:rsidR="00067BA5">
        <w:rPr>
          <w:sz w:val="24"/>
          <w:szCs w:val="24"/>
        </w:rPr>
        <w:t>.2019</w:t>
      </w:r>
      <w:r w:rsidR="0009173C" w:rsidRPr="0009173C">
        <w:rPr>
          <w:sz w:val="24"/>
          <w:szCs w:val="24"/>
        </w:rPr>
        <w:t xml:space="preserve"> </w:t>
      </w:r>
      <w:r w:rsidR="0009173C">
        <w:rPr>
          <w:sz w:val="24"/>
          <w:szCs w:val="24"/>
        </w:rPr>
        <w:t>размещено 40 компаний-резидентов</w:t>
      </w:r>
      <w:r w:rsidRPr="00EA521F">
        <w:rPr>
          <w:sz w:val="24"/>
          <w:szCs w:val="24"/>
        </w:rPr>
        <w:t>, количество рабочих мест, созданных резидентами, составило 17</w:t>
      </w:r>
      <w:r w:rsidR="00C12B13">
        <w:rPr>
          <w:sz w:val="24"/>
          <w:szCs w:val="24"/>
        </w:rPr>
        <w:t>6</w:t>
      </w:r>
      <w:r w:rsidRPr="00EA521F">
        <w:rPr>
          <w:sz w:val="24"/>
          <w:szCs w:val="24"/>
        </w:rPr>
        <w:t xml:space="preserve"> единиц</w:t>
      </w:r>
      <w:r w:rsidR="0009173C">
        <w:rPr>
          <w:sz w:val="24"/>
          <w:szCs w:val="24"/>
        </w:rPr>
        <w:t xml:space="preserve"> (по состоянию на 01.10.2019 - </w:t>
      </w:r>
      <w:r w:rsidR="006F3114">
        <w:rPr>
          <w:sz w:val="24"/>
          <w:szCs w:val="24"/>
        </w:rPr>
        <w:t>51</w:t>
      </w:r>
      <w:r w:rsidR="0009173C" w:rsidRPr="00EA521F">
        <w:rPr>
          <w:sz w:val="24"/>
          <w:szCs w:val="24"/>
        </w:rPr>
        <w:t xml:space="preserve"> компани</w:t>
      </w:r>
      <w:r w:rsidR="006F3114">
        <w:rPr>
          <w:sz w:val="24"/>
          <w:szCs w:val="24"/>
        </w:rPr>
        <w:t>я</w:t>
      </w:r>
      <w:r w:rsidR="0009173C" w:rsidRPr="00EA521F">
        <w:rPr>
          <w:sz w:val="24"/>
          <w:szCs w:val="24"/>
        </w:rPr>
        <w:t>-резидент</w:t>
      </w:r>
      <w:r w:rsidR="0009173C">
        <w:rPr>
          <w:sz w:val="24"/>
          <w:szCs w:val="24"/>
        </w:rPr>
        <w:t>)</w:t>
      </w:r>
      <w:r w:rsidRPr="00EA521F">
        <w:rPr>
          <w:sz w:val="24"/>
          <w:szCs w:val="24"/>
        </w:rPr>
        <w:t xml:space="preserve">. </w:t>
      </w:r>
    </w:p>
    <w:p w:rsidR="00EA521F" w:rsidRDefault="006B02C5" w:rsidP="00EA521F">
      <w:pPr>
        <w:spacing w:line="276" w:lineRule="auto"/>
        <w:ind w:firstLine="709"/>
        <w:jc w:val="both"/>
        <w:rPr>
          <w:sz w:val="24"/>
          <w:szCs w:val="24"/>
        </w:rPr>
      </w:pPr>
      <w:r w:rsidRPr="00EA521F">
        <w:rPr>
          <w:sz w:val="24"/>
          <w:szCs w:val="24"/>
        </w:rPr>
        <w:t xml:space="preserve">Помимо этого, СМСП оказывается информационная и консультационная поддержка предпринимателей и лиц, планирующих заниматься предпринимательской деятельностью, по вопросам налогообложения, бухгалтерского учета, привлечения инвестиций, регистрации юридического лица и индивидуальных предпринимателей, правовой защиты и развития предприятия, бизнес-планирования, мер поддержки предпринимательства в Самарской области. За </w:t>
      </w:r>
      <w:r w:rsidR="00E562C1" w:rsidRPr="00EA521F">
        <w:rPr>
          <w:sz w:val="24"/>
          <w:szCs w:val="24"/>
        </w:rPr>
        <w:t>6</w:t>
      </w:r>
      <w:r w:rsidRPr="00EA521F">
        <w:rPr>
          <w:sz w:val="24"/>
          <w:szCs w:val="24"/>
        </w:rPr>
        <w:t xml:space="preserve"> месяцев 201</w:t>
      </w:r>
      <w:r w:rsidR="00EA521F" w:rsidRPr="00EA521F">
        <w:rPr>
          <w:sz w:val="24"/>
          <w:szCs w:val="24"/>
        </w:rPr>
        <w:t>9</w:t>
      </w:r>
      <w:r w:rsidRPr="00EA521F">
        <w:rPr>
          <w:sz w:val="24"/>
          <w:szCs w:val="24"/>
        </w:rPr>
        <w:t xml:space="preserve"> года на территории бизнес-инкубатора Тольятти </w:t>
      </w:r>
      <w:r w:rsidR="00EA521F">
        <w:rPr>
          <w:sz w:val="24"/>
          <w:szCs w:val="24"/>
        </w:rPr>
        <w:t>о</w:t>
      </w:r>
      <w:r w:rsidR="00EA521F" w:rsidRPr="00EA521F">
        <w:rPr>
          <w:sz w:val="24"/>
          <w:szCs w:val="24"/>
        </w:rPr>
        <w:t xml:space="preserve">казана информационная и консультационная поддержка </w:t>
      </w:r>
      <w:r w:rsidR="0009173C" w:rsidRPr="0009173C">
        <w:rPr>
          <w:sz w:val="24"/>
          <w:szCs w:val="24"/>
        </w:rPr>
        <w:t>334 СМСП</w:t>
      </w:r>
      <w:r w:rsidR="00EA521F" w:rsidRPr="00EA521F">
        <w:rPr>
          <w:sz w:val="24"/>
          <w:szCs w:val="24"/>
        </w:rPr>
        <w:t xml:space="preserve">. </w:t>
      </w:r>
      <w:r w:rsidRPr="00EA521F">
        <w:rPr>
          <w:sz w:val="24"/>
          <w:szCs w:val="24"/>
        </w:rPr>
        <w:t>Всего в 201</w:t>
      </w:r>
      <w:r w:rsidR="00EA521F" w:rsidRPr="00EA521F">
        <w:rPr>
          <w:sz w:val="24"/>
          <w:szCs w:val="24"/>
        </w:rPr>
        <w:t>9</w:t>
      </w:r>
      <w:r w:rsidRPr="00EA521F">
        <w:rPr>
          <w:sz w:val="24"/>
          <w:szCs w:val="24"/>
        </w:rPr>
        <w:t xml:space="preserve"> году планируется оказать информационных и консультационных услуг </w:t>
      </w:r>
      <w:r w:rsidR="00EA521F" w:rsidRPr="00EA521F">
        <w:t xml:space="preserve"> </w:t>
      </w:r>
      <w:r w:rsidR="00EA521F">
        <w:rPr>
          <w:sz w:val="24"/>
          <w:szCs w:val="24"/>
        </w:rPr>
        <w:t xml:space="preserve">для </w:t>
      </w:r>
      <w:r w:rsidR="006F3114">
        <w:rPr>
          <w:sz w:val="24"/>
          <w:szCs w:val="24"/>
        </w:rPr>
        <w:t>650</w:t>
      </w:r>
      <w:r w:rsidR="00EA521F">
        <w:rPr>
          <w:sz w:val="24"/>
          <w:szCs w:val="24"/>
        </w:rPr>
        <w:t xml:space="preserve"> СМСП и физических лиц.</w:t>
      </w:r>
      <w:r w:rsidR="00EA521F" w:rsidRPr="00EA521F">
        <w:rPr>
          <w:sz w:val="24"/>
          <w:szCs w:val="24"/>
        </w:rPr>
        <w:t xml:space="preserve"> </w:t>
      </w:r>
    </w:p>
    <w:p w:rsidR="00150E4F" w:rsidRPr="00EA521F" w:rsidRDefault="00150E4F" w:rsidP="00EA521F">
      <w:pPr>
        <w:spacing w:line="276" w:lineRule="auto"/>
        <w:ind w:firstLine="709"/>
        <w:jc w:val="both"/>
        <w:rPr>
          <w:sz w:val="24"/>
          <w:szCs w:val="24"/>
        </w:rPr>
      </w:pPr>
      <w:r w:rsidRPr="00150E4F">
        <w:rPr>
          <w:sz w:val="24"/>
          <w:szCs w:val="24"/>
        </w:rPr>
        <w:t xml:space="preserve">С целью развития малого и среднего инновационного предпринимательства, повышения инвестиционной привлекательности, формирования благоприятной бизнес-среды в городском округе Тольятти продолжается развитие Технопарка в сфере высоких технологий «Жигулевская долина». </w:t>
      </w:r>
    </w:p>
    <w:p w:rsidR="00150E4F" w:rsidRDefault="00150E4F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150E4F">
        <w:rPr>
          <w:sz w:val="24"/>
          <w:szCs w:val="24"/>
        </w:rPr>
        <w:t xml:space="preserve">Ведется работа по предоставлению в аренду, безвозмездное пользование объектов муниципального имущества, включенных в Перечень муниципального имущества </w:t>
      </w:r>
      <w:r w:rsidRPr="00150E4F">
        <w:rPr>
          <w:sz w:val="24"/>
          <w:szCs w:val="24"/>
        </w:rPr>
        <w:lastRenderedPageBreak/>
        <w:t xml:space="preserve">городского округа Тольятти, предназначенного для предоставления во владение и (или) в пользование </w:t>
      </w:r>
      <w:r w:rsidR="00067BA5">
        <w:rPr>
          <w:sz w:val="24"/>
          <w:szCs w:val="24"/>
        </w:rPr>
        <w:t>СМСП</w:t>
      </w:r>
      <w:r w:rsidRPr="00150E4F">
        <w:rPr>
          <w:sz w:val="24"/>
          <w:szCs w:val="24"/>
        </w:rPr>
        <w:t xml:space="preserve"> и организациям, образующим инфраструктуру поддержки </w:t>
      </w:r>
      <w:r w:rsidR="00067BA5">
        <w:rPr>
          <w:sz w:val="24"/>
          <w:szCs w:val="24"/>
        </w:rPr>
        <w:t>СМСП</w:t>
      </w:r>
      <w:r w:rsidRPr="00150E4F">
        <w:rPr>
          <w:sz w:val="24"/>
          <w:szCs w:val="24"/>
        </w:rPr>
        <w:t>.</w:t>
      </w:r>
    </w:p>
    <w:p w:rsidR="006B02C5" w:rsidRPr="006F3114" w:rsidRDefault="006B02C5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6F3114">
        <w:rPr>
          <w:sz w:val="24"/>
          <w:szCs w:val="24"/>
        </w:rPr>
        <w:t xml:space="preserve">Перечень муниципального имущества городского округа Тольятти, предназначенного для предоставления во владение и (или) в пользование </w:t>
      </w:r>
      <w:r w:rsidR="00067BA5">
        <w:rPr>
          <w:sz w:val="24"/>
          <w:szCs w:val="24"/>
        </w:rPr>
        <w:t>СМСП</w:t>
      </w:r>
      <w:r w:rsidRPr="006F3114">
        <w:rPr>
          <w:sz w:val="24"/>
          <w:szCs w:val="24"/>
        </w:rPr>
        <w:t xml:space="preserve"> и организациям, образующим инфраструктуру поддержки </w:t>
      </w:r>
      <w:r w:rsidR="00067BA5">
        <w:rPr>
          <w:sz w:val="24"/>
          <w:szCs w:val="24"/>
        </w:rPr>
        <w:t xml:space="preserve">СМСП, </w:t>
      </w:r>
      <w:r w:rsidRPr="006F3114">
        <w:rPr>
          <w:sz w:val="24"/>
          <w:szCs w:val="24"/>
        </w:rPr>
        <w:t xml:space="preserve">содержащий </w:t>
      </w:r>
      <w:r w:rsidR="006F3114" w:rsidRPr="006F3114">
        <w:rPr>
          <w:sz w:val="24"/>
          <w:szCs w:val="24"/>
        </w:rPr>
        <w:t>11</w:t>
      </w:r>
      <w:r w:rsidRPr="006F3114">
        <w:rPr>
          <w:sz w:val="24"/>
          <w:szCs w:val="24"/>
        </w:rPr>
        <w:t xml:space="preserve"> объектов муниципального имущества.</w:t>
      </w:r>
    </w:p>
    <w:p w:rsidR="006B02C5" w:rsidRPr="006F3114" w:rsidRDefault="006B02C5" w:rsidP="00261A6E">
      <w:pPr>
        <w:spacing w:line="276" w:lineRule="auto"/>
        <w:ind w:firstLine="709"/>
        <w:jc w:val="both"/>
        <w:rPr>
          <w:sz w:val="24"/>
          <w:szCs w:val="24"/>
        </w:rPr>
      </w:pPr>
      <w:r w:rsidRPr="006F3114">
        <w:rPr>
          <w:sz w:val="24"/>
          <w:szCs w:val="24"/>
        </w:rPr>
        <w:t xml:space="preserve">Из вышеуказанного Перечня </w:t>
      </w:r>
      <w:r w:rsidR="006F3114" w:rsidRPr="006F3114">
        <w:rPr>
          <w:sz w:val="24"/>
          <w:szCs w:val="24"/>
        </w:rPr>
        <w:t>3</w:t>
      </w:r>
      <w:r w:rsidRPr="006F3114">
        <w:rPr>
          <w:sz w:val="24"/>
          <w:szCs w:val="24"/>
        </w:rPr>
        <w:t xml:space="preserve"> объекта муниципального имущества были предоставлены </w:t>
      </w:r>
      <w:r w:rsidR="00067BA5">
        <w:rPr>
          <w:sz w:val="24"/>
          <w:szCs w:val="24"/>
        </w:rPr>
        <w:t>СМСП</w:t>
      </w:r>
      <w:r w:rsidR="00017390" w:rsidRPr="006F3114">
        <w:rPr>
          <w:sz w:val="24"/>
          <w:szCs w:val="24"/>
        </w:rPr>
        <w:t xml:space="preserve"> </w:t>
      </w:r>
      <w:r w:rsidRPr="006F3114">
        <w:rPr>
          <w:sz w:val="24"/>
          <w:szCs w:val="24"/>
        </w:rPr>
        <w:t>в безвозмездное пользование.</w:t>
      </w:r>
    </w:p>
    <w:p w:rsidR="00150E4F" w:rsidRPr="00150E4F" w:rsidRDefault="00150E4F" w:rsidP="00150E4F">
      <w:pPr>
        <w:pStyle w:val="afb"/>
        <w:autoSpaceDE w:val="0"/>
        <w:autoSpaceDN w:val="0"/>
        <w:spacing w:line="276" w:lineRule="auto"/>
        <w:ind w:left="0" w:firstLine="709"/>
        <w:jc w:val="both"/>
        <w:rPr>
          <w:szCs w:val="24"/>
        </w:rPr>
      </w:pPr>
      <w:r w:rsidRPr="00150E4F">
        <w:rPr>
          <w:szCs w:val="24"/>
        </w:rPr>
        <w:t>С 12 ноября 2016 года в городском округе Тольятти внедрена система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городского округа Тольятти, затрагивающие вопросы осуществления предпринимательской и инвестиционной деятельности.</w:t>
      </w:r>
    </w:p>
    <w:p w:rsidR="007755A0" w:rsidRPr="00150E4F" w:rsidRDefault="00150E4F" w:rsidP="00150E4F">
      <w:pPr>
        <w:pStyle w:val="afb"/>
        <w:autoSpaceDE w:val="0"/>
        <w:autoSpaceDN w:val="0"/>
        <w:spacing w:line="276" w:lineRule="auto"/>
        <w:ind w:left="0" w:firstLine="709"/>
        <w:jc w:val="both"/>
        <w:rPr>
          <w:szCs w:val="24"/>
        </w:rPr>
      </w:pPr>
      <w:r w:rsidRPr="00150E4F">
        <w:rPr>
          <w:szCs w:val="24"/>
        </w:rPr>
        <w:t>По состоянию на 01.07.2019 подготовлено 40 заключений об оценке регулирующего воздействия проектов муниципальных нормативных правовых актов городского округа Тольятти</w:t>
      </w:r>
      <w:r w:rsidR="006F3114">
        <w:rPr>
          <w:szCs w:val="24"/>
        </w:rPr>
        <w:t xml:space="preserve"> (на 01.10.2019 - 65 заключений)</w:t>
      </w:r>
      <w:r w:rsidRPr="00150E4F">
        <w:rPr>
          <w:szCs w:val="24"/>
        </w:rPr>
        <w:t>.  При проведении экспертизы данных нормативных правовых актов положений, необоснованно затрудняющих осуществление предпринимательской и инвестиционной деятельности, не выявлено.</w:t>
      </w:r>
    </w:p>
    <w:p w:rsidR="00344442" w:rsidRPr="00344442" w:rsidRDefault="00344442" w:rsidP="00344442">
      <w:pPr>
        <w:spacing w:line="276" w:lineRule="auto"/>
        <w:ind w:firstLine="709"/>
        <w:jc w:val="both"/>
        <w:rPr>
          <w:sz w:val="24"/>
          <w:szCs w:val="24"/>
        </w:rPr>
      </w:pPr>
      <w:r w:rsidRPr="00344442">
        <w:rPr>
          <w:sz w:val="24"/>
          <w:szCs w:val="24"/>
        </w:rPr>
        <w:t>В 2019 году начата реализация национального проекта «Малое и среднее предпринимательство и поддержка индивидуальной предпринимательской инициативы».</w:t>
      </w:r>
    </w:p>
    <w:p w:rsidR="00344442" w:rsidRPr="00D401F2" w:rsidRDefault="00344442" w:rsidP="0034444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D401F2">
        <w:rPr>
          <w:sz w:val="24"/>
          <w:szCs w:val="24"/>
        </w:rPr>
        <w:t>городского округа Тольятти установлен целевой показатель прироста работников СМСП в размере 440 человек.</w:t>
      </w:r>
    </w:p>
    <w:p w:rsidR="007755A0" w:rsidRPr="00D401F2" w:rsidRDefault="00344442" w:rsidP="00344442">
      <w:pPr>
        <w:spacing w:line="276" w:lineRule="auto"/>
        <w:ind w:firstLine="709"/>
        <w:jc w:val="both"/>
        <w:rPr>
          <w:sz w:val="24"/>
          <w:szCs w:val="24"/>
        </w:rPr>
      </w:pPr>
      <w:r w:rsidRPr="00D401F2">
        <w:rPr>
          <w:sz w:val="24"/>
          <w:szCs w:val="24"/>
        </w:rPr>
        <w:t xml:space="preserve"> В целях его достижения на территории города </w:t>
      </w:r>
      <w:r w:rsidR="00067BA5" w:rsidRPr="00D401F2">
        <w:rPr>
          <w:sz w:val="24"/>
          <w:szCs w:val="24"/>
        </w:rPr>
        <w:t>начата реализация</w:t>
      </w:r>
      <w:r w:rsidRPr="00D401F2">
        <w:rPr>
          <w:sz w:val="24"/>
          <w:szCs w:val="24"/>
        </w:rPr>
        <w:t xml:space="preserve"> мероприяти</w:t>
      </w:r>
      <w:r w:rsidR="00067BA5" w:rsidRPr="00D401F2">
        <w:rPr>
          <w:sz w:val="24"/>
          <w:szCs w:val="24"/>
        </w:rPr>
        <w:t>й</w:t>
      </w:r>
      <w:r w:rsidRPr="00D401F2">
        <w:rPr>
          <w:sz w:val="24"/>
          <w:szCs w:val="24"/>
        </w:rPr>
        <w:t>, включенны</w:t>
      </w:r>
      <w:r w:rsidR="00067BA5" w:rsidRPr="00D401F2">
        <w:rPr>
          <w:sz w:val="24"/>
          <w:szCs w:val="24"/>
        </w:rPr>
        <w:t>х</w:t>
      </w:r>
      <w:r w:rsidRPr="00D401F2">
        <w:rPr>
          <w:sz w:val="24"/>
          <w:szCs w:val="24"/>
        </w:rPr>
        <w:t xml:space="preserve"> в следующие федеральные проекты: «Улучшение условий ведения предпринимательской деятельности»; «Расширение доступа  СМСП к финансовым ресурсам, в том числе к льготному финансированию»; «Акселерация СМСП»; «Популяризация предпринимательства».</w:t>
      </w:r>
    </w:p>
    <w:p w:rsidR="00344442" w:rsidRPr="00B54A85" w:rsidRDefault="00B54A85" w:rsidP="00B54A8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 планируется создание </w:t>
      </w:r>
      <w:r w:rsidRPr="00B54A85">
        <w:rPr>
          <w:sz w:val="24"/>
          <w:szCs w:val="24"/>
        </w:rPr>
        <w:t>центр</w:t>
      </w:r>
      <w:r>
        <w:rPr>
          <w:sz w:val="24"/>
          <w:szCs w:val="24"/>
        </w:rPr>
        <w:t>а</w:t>
      </w:r>
      <w:r w:rsidRPr="00B54A85">
        <w:rPr>
          <w:sz w:val="24"/>
          <w:szCs w:val="24"/>
        </w:rPr>
        <w:t xml:space="preserve"> «Мой бизнес», в котор</w:t>
      </w:r>
      <w:r>
        <w:rPr>
          <w:sz w:val="24"/>
          <w:szCs w:val="24"/>
        </w:rPr>
        <w:t>ом</w:t>
      </w:r>
      <w:r w:rsidRPr="00B54A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будет </w:t>
      </w:r>
      <w:r w:rsidRPr="00B54A85">
        <w:rPr>
          <w:sz w:val="24"/>
          <w:szCs w:val="24"/>
        </w:rPr>
        <w:t>оказыват</w:t>
      </w:r>
      <w:r>
        <w:rPr>
          <w:sz w:val="24"/>
          <w:szCs w:val="24"/>
        </w:rPr>
        <w:t>ь</w:t>
      </w:r>
      <w:r w:rsidRPr="00B54A85">
        <w:rPr>
          <w:sz w:val="24"/>
          <w:szCs w:val="24"/>
        </w:rPr>
        <w:t xml:space="preserve">ся комплекс услуг для СМСП. </w:t>
      </w:r>
    </w:p>
    <w:p w:rsidR="00B54A85" w:rsidRDefault="00B54A85" w:rsidP="00A560F3">
      <w:pPr>
        <w:spacing w:line="276" w:lineRule="auto"/>
        <w:jc w:val="center"/>
        <w:rPr>
          <w:b/>
          <w:sz w:val="24"/>
          <w:szCs w:val="24"/>
        </w:rPr>
      </w:pPr>
    </w:p>
    <w:p w:rsidR="00A560F3" w:rsidRDefault="00A560F3" w:rsidP="00A560F3">
      <w:pPr>
        <w:spacing w:line="276" w:lineRule="auto"/>
        <w:jc w:val="center"/>
        <w:rPr>
          <w:b/>
          <w:sz w:val="24"/>
          <w:szCs w:val="24"/>
        </w:rPr>
      </w:pPr>
      <w:r w:rsidRPr="0054188C">
        <w:rPr>
          <w:b/>
          <w:sz w:val="24"/>
          <w:szCs w:val="24"/>
        </w:rPr>
        <w:t>Инвестиции в основной капитал</w:t>
      </w:r>
    </w:p>
    <w:p w:rsidR="00067BA5" w:rsidRPr="0054188C" w:rsidRDefault="00067BA5" w:rsidP="00A560F3">
      <w:pPr>
        <w:spacing w:line="276" w:lineRule="auto"/>
        <w:jc w:val="center"/>
        <w:rPr>
          <w:b/>
          <w:sz w:val="24"/>
          <w:szCs w:val="24"/>
        </w:rPr>
      </w:pP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>В 1 полугодии 2019 года отмечается снижение инвестиций в основной капитал. На развитие экономики и социальной сферы организациями городского округа Тольятти, не относящимися к субъектам малого предпринимательства, направлено 9 891,2 млн. рублей инвестиций в основной капитал, что меньше, чем в 1 полугодии 2018 года на 12,8% в действующих ценах.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>Доля Тольятти в общем объеме инвестиций в основной капитал по Самарской области составила 12,9% (второе место по объемам после городского округа Самара). При этом по объемам инвестиций на душу населения городской округ Тольятти занял четвертое место среди городских округов Самарской области и десятое место в сравнении с региональными центрами Приволжского федерального округа.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 xml:space="preserve">Основную долю в видовой структуре инвестиций в основной капитал (64,9% от общего объема инвестиций) занимают инвестиции в приобретение машин и оборудования; </w:t>
      </w:r>
      <w:r w:rsidRPr="00222EF4">
        <w:rPr>
          <w:sz w:val="24"/>
          <w:szCs w:val="24"/>
        </w:rPr>
        <w:lastRenderedPageBreak/>
        <w:t xml:space="preserve">инвестиции в здания (кроме жилых), сооружения, расходы на улучшение земель – 25,8%, объекты интеллектуальной собственности – 9,1%, прочие инвестиции - </w:t>
      </w:r>
      <w:r w:rsidR="00D0645A">
        <w:rPr>
          <w:sz w:val="24"/>
          <w:szCs w:val="24"/>
        </w:rPr>
        <w:t>0,2</w:t>
      </w:r>
      <w:r w:rsidRPr="00222EF4">
        <w:rPr>
          <w:sz w:val="24"/>
          <w:szCs w:val="24"/>
        </w:rPr>
        <w:t xml:space="preserve">%. 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 xml:space="preserve">Основной источник финансирования инвестиций в январе-июне 2019 года – собственные средства предприятий и организаций, их доля в отчетном периоде составила 80,0% от общего объема инвестиций (в январе-июне 2018 года – 69,9%). За счет привлеченных средств освоено 20,0% инвестиций (в январе-июне 2018 года – 30,1%). 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>В общем объеме инвестиций в основной капитал по городскому округу Тольятти основная доля пришлась на крупные и средние предприятия промышленного  сектора экономики –  88,0%, или  8</w:t>
      </w:r>
      <w:r w:rsidR="007012B4" w:rsidRPr="00222EF4">
        <w:rPr>
          <w:sz w:val="24"/>
          <w:szCs w:val="24"/>
        </w:rPr>
        <w:t xml:space="preserve"> </w:t>
      </w:r>
      <w:r w:rsidRPr="00222EF4">
        <w:rPr>
          <w:sz w:val="24"/>
          <w:szCs w:val="24"/>
        </w:rPr>
        <w:t xml:space="preserve">709,1  млн. рублей, в том числе на обрабатывающие производства – 84,6%, или 8 366,1 млн. рублей. 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>Объемы ин</w:t>
      </w:r>
      <w:r w:rsidR="007012B4" w:rsidRPr="00222EF4">
        <w:rPr>
          <w:sz w:val="24"/>
          <w:szCs w:val="24"/>
        </w:rPr>
        <w:t>вестиции по виду деятельности «П</w:t>
      </w:r>
      <w:r w:rsidRPr="00222EF4">
        <w:rPr>
          <w:sz w:val="24"/>
          <w:szCs w:val="24"/>
        </w:rPr>
        <w:t xml:space="preserve">роизводство автотранспортных средств, прицепов и полуприцепов» в 1 полугодии 2019 года составили 3 400,2 млн. рублей, что на 21,1% ниже аналогичного периода прошлого года (40,6% от общего объема инвестиций в основной капитал). </w:t>
      </w:r>
    </w:p>
    <w:p w:rsidR="00A560F3" w:rsidRPr="00222EF4" w:rsidRDefault="00343B1F" w:rsidP="00222EF4">
      <w:pPr>
        <w:spacing w:line="276" w:lineRule="auto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Н</w:t>
      </w:r>
      <w:r w:rsidR="00A560F3" w:rsidRPr="00222EF4">
        <w:rPr>
          <w:sz w:val="24"/>
          <w:szCs w:val="24"/>
        </w:rPr>
        <w:t xml:space="preserve">а </w:t>
      </w:r>
      <w:r w:rsidR="00D54E5D">
        <w:rPr>
          <w:sz w:val="24"/>
          <w:szCs w:val="24"/>
        </w:rPr>
        <w:t>П</w:t>
      </w:r>
      <w:r w:rsidR="00A560F3" w:rsidRPr="00222EF4">
        <w:rPr>
          <w:sz w:val="24"/>
          <w:szCs w:val="24"/>
        </w:rPr>
        <w:t xml:space="preserve">АО «АВТОВАЗ» реализуются инвестиционные проекты, направленные на организацию и развитие производства автомобилей на платформе В0, производство семейства автомобилей LADA B/C, производство автомобилей LADA GRANTA и LADA KALINA, </w:t>
      </w:r>
      <w:r w:rsidR="00A560F3" w:rsidRPr="00222EF4">
        <w:rPr>
          <w:sz w:val="24"/>
          <w:szCs w:val="24"/>
          <w:lang w:val="en-US"/>
        </w:rPr>
        <w:t>L</w:t>
      </w:r>
      <w:r w:rsidR="004B73E4">
        <w:rPr>
          <w:sz w:val="24"/>
          <w:szCs w:val="24"/>
        </w:rPr>
        <w:t>А</w:t>
      </w:r>
      <w:r w:rsidR="00A560F3" w:rsidRPr="00222EF4">
        <w:rPr>
          <w:sz w:val="24"/>
          <w:szCs w:val="24"/>
          <w:lang w:val="en-US"/>
        </w:rPr>
        <w:t>RGUS</w:t>
      </w:r>
      <w:r w:rsidR="00A560F3" w:rsidRPr="00222EF4">
        <w:rPr>
          <w:sz w:val="24"/>
          <w:szCs w:val="24"/>
        </w:rPr>
        <w:t xml:space="preserve"> производство автомобилей XRAY, локализацию двигателя Н4, производство автомобиля 4х4 NG (New Generation).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>Объемы инвестиций в основной</w:t>
      </w:r>
      <w:r w:rsidR="007012B4" w:rsidRPr="00222EF4">
        <w:rPr>
          <w:sz w:val="24"/>
          <w:szCs w:val="24"/>
        </w:rPr>
        <w:t xml:space="preserve"> капитал по виду деятельности «П</w:t>
      </w:r>
      <w:r w:rsidRPr="00222EF4">
        <w:rPr>
          <w:sz w:val="24"/>
          <w:szCs w:val="24"/>
        </w:rPr>
        <w:t>роизводство химических веществ и химических продуктов» в январе-июне 2019 года составили 4 469,6 млн. рублей, что на 31,0% выше уровня предыдущего года (53,4% от общего объема инвестиций в основной капитал).</w:t>
      </w:r>
    </w:p>
    <w:p w:rsidR="00A560F3" w:rsidRPr="00222EF4" w:rsidRDefault="00A560F3" w:rsidP="00222EF4">
      <w:pPr>
        <w:pStyle w:val="aff0"/>
        <w:spacing w:line="276" w:lineRule="auto"/>
        <w:rPr>
          <w:sz w:val="24"/>
          <w:szCs w:val="24"/>
        </w:rPr>
      </w:pPr>
      <w:r w:rsidRPr="00222EF4">
        <w:rPr>
          <w:sz w:val="24"/>
          <w:szCs w:val="24"/>
        </w:rPr>
        <w:t xml:space="preserve">На ПАО «Куйбышевазот» реализуются проекты по техническому перевооружению, модернизации действующих мощностей и строительству новых. На предприятии продолжается реализация проектов по развитию производства полиамида-6 (IV очередь строительства </w:t>
      </w:r>
      <w:r w:rsidRPr="00222EF4">
        <w:rPr>
          <w:sz w:val="24"/>
          <w:szCs w:val="24"/>
          <w:lang w:val="en-US"/>
        </w:rPr>
        <w:t>II</w:t>
      </w:r>
      <w:r w:rsidRPr="00222EF4">
        <w:rPr>
          <w:sz w:val="24"/>
          <w:szCs w:val="24"/>
        </w:rPr>
        <w:t xml:space="preserve"> этап), увеличение мощности гидроксиламинсульфата до 220 тыс.тонн/год, строительство установки компактирования сульфата аммония совместно с предприятием Trammo AG), строительство установки гранулированного сульфатанитрата</w:t>
      </w:r>
      <w:r w:rsidR="007012B4" w:rsidRPr="00222EF4">
        <w:rPr>
          <w:sz w:val="24"/>
          <w:szCs w:val="24"/>
        </w:rPr>
        <w:t>.</w:t>
      </w:r>
      <w:r w:rsidRPr="00222EF4">
        <w:rPr>
          <w:sz w:val="24"/>
          <w:szCs w:val="24"/>
        </w:rPr>
        <w:t xml:space="preserve"> </w:t>
      </w:r>
    </w:p>
    <w:p w:rsidR="007012B4" w:rsidRPr="00222EF4" w:rsidRDefault="00A560F3" w:rsidP="00222EF4">
      <w:pPr>
        <w:pStyle w:val="aff0"/>
        <w:spacing w:line="276" w:lineRule="auto"/>
        <w:rPr>
          <w:sz w:val="24"/>
          <w:szCs w:val="24"/>
        </w:rPr>
      </w:pPr>
      <w:r w:rsidRPr="00222EF4">
        <w:rPr>
          <w:sz w:val="24"/>
          <w:szCs w:val="24"/>
        </w:rPr>
        <w:t xml:space="preserve">Кроме того, в отчетном году на ПАО «Куйбышевазот» в сотрудничестве с </w:t>
      </w:r>
      <w:r w:rsidRPr="00222EF4">
        <w:rPr>
          <w:sz w:val="24"/>
          <w:szCs w:val="24"/>
          <w:lang w:val="en-US"/>
        </w:rPr>
        <w:t>Maire</w:t>
      </w:r>
      <w:r w:rsidRPr="00222EF4">
        <w:rPr>
          <w:sz w:val="24"/>
          <w:szCs w:val="24"/>
        </w:rPr>
        <w:t xml:space="preserve"> </w:t>
      </w:r>
      <w:r w:rsidRPr="00222EF4">
        <w:rPr>
          <w:sz w:val="24"/>
          <w:szCs w:val="24"/>
          <w:lang w:val="en-US"/>
        </w:rPr>
        <w:t>Tecnikomt</w:t>
      </w:r>
      <w:r w:rsidRPr="00222EF4">
        <w:rPr>
          <w:sz w:val="24"/>
          <w:szCs w:val="24"/>
        </w:rPr>
        <w:t xml:space="preserve"> выполняются проектные работы по строительству нового энергоэффективного агрегата карбамида мощностью 1,5 тыс. т/сутки. В проекте применяется прогрессивная технология, обеспечивающая экологически чистое и безопасное производство, уровень потребления ресурсов, соответствующий лучшим мировым аналогам. </w:t>
      </w:r>
    </w:p>
    <w:p w:rsidR="00A560F3" w:rsidRPr="00222EF4" w:rsidRDefault="00A560F3" w:rsidP="00222EF4">
      <w:pPr>
        <w:pStyle w:val="aff0"/>
        <w:spacing w:line="276" w:lineRule="auto"/>
        <w:rPr>
          <w:sz w:val="24"/>
          <w:szCs w:val="24"/>
        </w:rPr>
      </w:pPr>
      <w:r w:rsidRPr="00222EF4">
        <w:rPr>
          <w:sz w:val="24"/>
          <w:szCs w:val="24"/>
        </w:rPr>
        <w:t xml:space="preserve">Особое внимание  ПАО «КуйбышевАзот» продолжает уделять экологическим проектам, среди которых строительство пока единственных в регионе очистных сооружений ливневых стоков Северного промузла и части Центрального района </w:t>
      </w:r>
      <w:r w:rsidR="007012B4" w:rsidRPr="00222EF4">
        <w:rPr>
          <w:sz w:val="24"/>
          <w:szCs w:val="24"/>
        </w:rPr>
        <w:t xml:space="preserve">городского округа </w:t>
      </w:r>
      <w:r w:rsidRPr="00222EF4">
        <w:rPr>
          <w:sz w:val="24"/>
          <w:szCs w:val="24"/>
        </w:rPr>
        <w:t>Тольятти.</w:t>
      </w:r>
    </w:p>
    <w:p w:rsidR="00A560F3" w:rsidRPr="00222EF4" w:rsidRDefault="00A560F3" w:rsidP="00222EF4">
      <w:pPr>
        <w:tabs>
          <w:tab w:val="num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>ПАО «Тольяттиазот» продолжает реализацию программы модернизации производственных мощностей, которая рассчитана до 2021 года.  Предприятие реализует крупный инвестиционный проект по строительству агрегата карбамида № 03. При этом</w:t>
      </w:r>
      <w:r w:rsidR="007012B4" w:rsidRPr="00222EF4">
        <w:rPr>
          <w:sz w:val="24"/>
          <w:szCs w:val="24"/>
        </w:rPr>
        <w:t>,</w:t>
      </w:r>
      <w:r w:rsidRPr="00222EF4">
        <w:rPr>
          <w:sz w:val="24"/>
          <w:szCs w:val="24"/>
        </w:rPr>
        <w:t xml:space="preserve"> по оценке ПАО «Тольяттиазот» общий плановый объем инвестиций в 2019 году на предприятии </w:t>
      </w:r>
      <w:r w:rsidR="007012B4" w:rsidRPr="00222EF4">
        <w:rPr>
          <w:sz w:val="24"/>
          <w:szCs w:val="24"/>
        </w:rPr>
        <w:t xml:space="preserve">незначительно </w:t>
      </w:r>
      <w:r w:rsidRPr="00222EF4">
        <w:rPr>
          <w:sz w:val="24"/>
          <w:szCs w:val="24"/>
        </w:rPr>
        <w:t>снизится</w:t>
      </w:r>
      <w:r w:rsidR="00222EF4" w:rsidRPr="00222EF4">
        <w:rPr>
          <w:sz w:val="24"/>
          <w:szCs w:val="24"/>
        </w:rPr>
        <w:t xml:space="preserve"> к уровню прошлого года</w:t>
      </w:r>
      <w:r w:rsidRPr="00222EF4">
        <w:rPr>
          <w:sz w:val="24"/>
          <w:szCs w:val="24"/>
        </w:rPr>
        <w:t>.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 xml:space="preserve">Кроме того, в отчетном году на проектную мощность выведены новое производство аммиака СП ООО «Линде Азот Тольятти» и установка компактированного сульфата </w:t>
      </w:r>
      <w:r w:rsidRPr="00222EF4">
        <w:rPr>
          <w:sz w:val="24"/>
          <w:szCs w:val="24"/>
        </w:rPr>
        <w:lastRenderedPageBreak/>
        <w:t xml:space="preserve">аммония, ведется строительство производства сульфат-нитрат аммония, готовится площадка под вторую универсальную комплектную линию азотной кислоты. Продолжается строительство очистных сооружений «Копань» (на основе разработки комплексных решений по очистке воды в накопительной емкости) с объемом инвестиций </w:t>
      </w:r>
    </w:p>
    <w:p w:rsidR="00A560F3" w:rsidRPr="00222EF4" w:rsidRDefault="00A560F3" w:rsidP="00222EF4">
      <w:pPr>
        <w:spacing w:line="276" w:lineRule="auto"/>
        <w:jc w:val="both"/>
        <w:rPr>
          <w:sz w:val="24"/>
          <w:szCs w:val="24"/>
        </w:rPr>
      </w:pPr>
      <w:r w:rsidRPr="00222EF4">
        <w:rPr>
          <w:sz w:val="24"/>
          <w:szCs w:val="24"/>
        </w:rPr>
        <w:t>в 2019 году – 140,</w:t>
      </w:r>
      <w:r w:rsidR="00D401F2">
        <w:rPr>
          <w:sz w:val="24"/>
          <w:szCs w:val="24"/>
        </w:rPr>
        <w:t>0</w:t>
      </w:r>
      <w:r w:rsidRPr="00222EF4">
        <w:rPr>
          <w:sz w:val="24"/>
          <w:szCs w:val="24"/>
        </w:rPr>
        <w:t xml:space="preserve"> млн. рублей.</w:t>
      </w:r>
    </w:p>
    <w:p w:rsidR="00A560F3" w:rsidRPr="00222EF4" w:rsidRDefault="00A560F3" w:rsidP="00222EF4">
      <w:pPr>
        <w:tabs>
          <w:tab w:val="num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 xml:space="preserve">Развитие производственной площадки ЗАО «СИБУР Холдинг» в Тольятти происходит по двум ключевым направлениям: модернизация ООО «Сибур Тольятти» и организация технопарка на свободных площадях. На ООО «Сибур Тольятти» реализуются инвестиционные проекты, направленные на поддержание основных фондов и внедрение новых технологий, экономию сырья и энергоресурсов, автоматизацию производства, снижение негативного воздействия на окружающую среду, а также улучшение состояния промышленной безопасности. Один из крупных проектов предприятия - техперевооружение производства метил-трет-бутилового эфира (МТБЭ): разработана рабочая документация. 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 xml:space="preserve">Важную роль в повышении привлекательности городского округа Тольятти как места для вложения инвестиций и ведения бизнеса оказывает созданная территория опережающего социально-экономического развития (далее </w:t>
      </w:r>
      <w:r w:rsidR="00222EF4" w:rsidRPr="00222EF4">
        <w:rPr>
          <w:sz w:val="24"/>
          <w:szCs w:val="24"/>
        </w:rPr>
        <w:t xml:space="preserve">по разделу </w:t>
      </w:r>
      <w:r w:rsidRPr="00222EF4">
        <w:rPr>
          <w:sz w:val="24"/>
          <w:szCs w:val="24"/>
        </w:rPr>
        <w:t>- ТОСЭР «Тольятти»), что способствует привлечению в город инвестиций и созданию новых рабочих мест.</w:t>
      </w:r>
    </w:p>
    <w:p w:rsidR="00222EF4" w:rsidRPr="00222EF4" w:rsidRDefault="00A560F3" w:rsidP="00222EF4">
      <w:pPr>
        <w:pStyle w:val="aff0"/>
        <w:tabs>
          <w:tab w:val="left" w:pos="851"/>
          <w:tab w:val="left" w:pos="993"/>
        </w:tabs>
        <w:spacing w:line="276" w:lineRule="auto"/>
        <w:rPr>
          <w:sz w:val="24"/>
          <w:szCs w:val="24"/>
        </w:rPr>
      </w:pPr>
      <w:r w:rsidRPr="00222EF4">
        <w:rPr>
          <w:sz w:val="24"/>
          <w:szCs w:val="24"/>
        </w:rPr>
        <w:t xml:space="preserve"> В настоящее время ТОСЭР «Тольятти» является лидером по количеству резидентов среди всех территорий опережающего социально-экономического развития страны, что свидетельствует о том, что интерес потенциальных инвесторов к городу растет. </w:t>
      </w:r>
    </w:p>
    <w:p w:rsidR="00A560F3" w:rsidRPr="00222EF4" w:rsidRDefault="00A560F3" w:rsidP="00222EF4">
      <w:pPr>
        <w:pStyle w:val="aff0"/>
        <w:tabs>
          <w:tab w:val="left" w:pos="851"/>
          <w:tab w:val="left" w:pos="993"/>
        </w:tabs>
        <w:spacing w:line="276" w:lineRule="auto"/>
        <w:rPr>
          <w:sz w:val="24"/>
          <w:szCs w:val="24"/>
        </w:rPr>
      </w:pPr>
      <w:r w:rsidRPr="00222EF4">
        <w:rPr>
          <w:sz w:val="24"/>
          <w:szCs w:val="24"/>
        </w:rPr>
        <w:t xml:space="preserve">Резидентам ТОСЭР «Тольятти» предоставляются льготные ставки по налогу на прибыль, освобождение от налога на имущество и налога на землю, существенно низкий процент по страховым выплатам. </w:t>
      </w:r>
      <w:r w:rsidRPr="00222EF4">
        <w:rPr>
          <w:sz w:val="24"/>
          <w:szCs w:val="24"/>
          <w:lang w:eastAsia="ru-RU"/>
        </w:rPr>
        <w:t xml:space="preserve">По состоянию на 01.10.2019 статус резидента ТОСЭР «Тольятти» получили 76 компаний. </w:t>
      </w:r>
      <w:r w:rsidRPr="00222EF4">
        <w:rPr>
          <w:sz w:val="24"/>
          <w:szCs w:val="24"/>
        </w:rPr>
        <w:t>Фактически, по состоянию на 01.</w:t>
      </w:r>
      <w:r w:rsidR="00343B1F">
        <w:rPr>
          <w:sz w:val="24"/>
          <w:szCs w:val="24"/>
        </w:rPr>
        <w:t>10</w:t>
      </w:r>
      <w:r w:rsidRPr="00222EF4">
        <w:rPr>
          <w:sz w:val="24"/>
          <w:szCs w:val="24"/>
        </w:rPr>
        <w:t xml:space="preserve">.2019 резидентами ТОСЭР «Тольятти» инвестировано </w:t>
      </w:r>
      <w:r w:rsidR="00343B1F">
        <w:rPr>
          <w:sz w:val="24"/>
          <w:szCs w:val="24"/>
        </w:rPr>
        <w:t>5</w:t>
      </w:r>
      <w:r w:rsidRPr="00222EF4">
        <w:rPr>
          <w:sz w:val="24"/>
          <w:szCs w:val="24"/>
        </w:rPr>
        <w:t>,5</w:t>
      </w:r>
      <w:r w:rsidR="00741D16">
        <w:rPr>
          <w:sz w:val="24"/>
          <w:szCs w:val="24"/>
        </w:rPr>
        <w:t>85</w:t>
      </w:r>
      <w:r w:rsidRPr="00222EF4">
        <w:rPr>
          <w:sz w:val="24"/>
          <w:szCs w:val="24"/>
        </w:rPr>
        <w:t xml:space="preserve"> млрд.</w:t>
      </w:r>
      <w:r w:rsidR="00222EF4" w:rsidRPr="00222EF4">
        <w:rPr>
          <w:sz w:val="24"/>
          <w:szCs w:val="24"/>
        </w:rPr>
        <w:t xml:space="preserve"> </w:t>
      </w:r>
      <w:r w:rsidRPr="00222EF4">
        <w:rPr>
          <w:sz w:val="24"/>
          <w:szCs w:val="24"/>
        </w:rPr>
        <w:t>руб</w:t>
      </w:r>
      <w:r w:rsidR="00222EF4" w:rsidRPr="00222EF4">
        <w:rPr>
          <w:sz w:val="24"/>
          <w:szCs w:val="24"/>
        </w:rPr>
        <w:t>лей</w:t>
      </w:r>
      <w:r w:rsidRPr="00222EF4">
        <w:rPr>
          <w:sz w:val="24"/>
          <w:szCs w:val="24"/>
        </w:rPr>
        <w:t xml:space="preserve"> (без НДС).</w:t>
      </w:r>
    </w:p>
    <w:p w:rsidR="00A560F3" w:rsidRPr="00222EF4" w:rsidRDefault="00A560F3" w:rsidP="00222EF4">
      <w:pPr>
        <w:pStyle w:val="aff0"/>
        <w:tabs>
          <w:tab w:val="left" w:pos="851"/>
          <w:tab w:val="left" w:pos="993"/>
        </w:tabs>
        <w:spacing w:line="276" w:lineRule="auto"/>
        <w:rPr>
          <w:sz w:val="24"/>
          <w:szCs w:val="24"/>
          <w:lang w:eastAsia="ru-RU"/>
        </w:rPr>
      </w:pPr>
      <w:r w:rsidRPr="00222EF4">
        <w:rPr>
          <w:sz w:val="24"/>
          <w:szCs w:val="24"/>
        </w:rPr>
        <w:t>Также на территории городского округа Тольятти имеется целый комплекс инфраструктурных площадок, готовых для реализации инвестиционных проектов, которые в отличие от обычных промплощадок,</w:t>
      </w:r>
      <w:r w:rsidRPr="00222EF4">
        <w:rPr>
          <w:color w:val="666666"/>
          <w:sz w:val="24"/>
          <w:szCs w:val="24"/>
          <w:shd w:val="clear" w:color="auto" w:fill="FFFFFF"/>
        </w:rPr>
        <w:t xml:space="preserve"> </w:t>
      </w:r>
      <w:r w:rsidRPr="00222EF4">
        <w:rPr>
          <w:sz w:val="24"/>
          <w:szCs w:val="24"/>
          <w:shd w:val="clear" w:color="auto" w:fill="FFFFFF"/>
        </w:rPr>
        <w:t>обеспечены энергоносителями, инженерной и транспортной инфраструктурой и административно-правовыми условиями для размещения бизнеса:</w:t>
      </w:r>
      <w:r w:rsidRPr="00222EF4">
        <w:rPr>
          <w:sz w:val="24"/>
          <w:szCs w:val="24"/>
          <w:lang w:eastAsia="ru-RU"/>
        </w:rPr>
        <w:t xml:space="preserve"> технопарк в сфере высоких технологий «Жигулевская долина», проект «Жигулевская долина-2», Индустриальный парк «Тольяттисинтез»,  Индустриальный парк «Волгоцеммаш», а также Особая экономической зона промышленно-производственного типа «Тольятти», расположенная на территории Ставропольского района.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 xml:space="preserve">Для реализации инновационных проектов и проектов в сфере IT создана отдельная площадка с особыми условиями и собственной инфраструктурой, предназначенной именно для инноваций, — Технопарк в сфере высоких технологий «Жигулевская долина» (далее по разделу – Технопарк). 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 xml:space="preserve"> По состоянию на 01.</w:t>
      </w:r>
      <w:r w:rsidR="00343B1F">
        <w:rPr>
          <w:sz w:val="24"/>
          <w:szCs w:val="24"/>
        </w:rPr>
        <w:t>10</w:t>
      </w:r>
      <w:r w:rsidRPr="00222EF4">
        <w:rPr>
          <w:sz w:val="24"/>
          <w:szCs w:val="24"/>
        </w:rPr>
        <w:t>.2019 резидентами Технопарка являются 2</w:t>
      </w:r>
      <w:r w:rsidR="00343B1F">
        <w:rPr>
          <w:sz w:val="24"/>
          <w:szCs w:val="24"/>
        </w:rPr>
        <w:t>24</w:t>
      </w:r>
      <w:r w:rsidRPr="00222EF4">
        <w:rPr>
          <w:sz w:val="24"/>
          <w:szCs w:val="24"/>
        </w:rPr>
        <w:t xml:space="preserve"> компаний, в том числе на территории технопарка размещается </w:t>
      </w:r>
      <w:r w:rsidR="00343B1F">
        <w:rPr>
          <w:sz w:val="24"/>
          <w:szCs w:val="24"/>
        </w:rPr>
        <w:t>101 компания</w:t>
      </w:r>
      <w:r w:rsidRPr="00222EF4">
        <w:rPr>
          <w:sz w:val="24"/>
          <w:szCs w:val="24"/>
        </w:rPr>
        <w:t>. По состоянию на 01.</w:t>
      </w:r>
      <w:r w:rsidR="000149E7">
        <w:rPr>
          <w:sz w:val="24"/>
          <w:szCs w:val="24"/>
        </w:rPr>
        <w:t>10</w:t>
      </w:r>
      <w:r w:rsidRPr="00222EF4">
        <w:rPr>
          <w:sz w:val="24"/>
          <w:szCs w:val="24"/>
        </w:rPr>
        <w:t xml:space="preserve">.2019 фактически освоено 5 771,4 млн. рублей, в том числе из федерального бюджета – 1 982,3 млн. рублей; областного бюджета -  3 789,1 млн. рублей. 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 xml:space="preserve">Инфраструктура Технопарка полностью соответствует потребностям инновационных и высокотехнологичных компаний для реализации их проектов и включает </w:t>
      </w:r>
      <w:r w:rsidRPr="00222EF4">
        <w:rPr>
          <w:sz w:val="24"/>
          <w:szCs w:val="24"/>
        </w:rPr>
        <w:lastRenderedPageBreak/>
        <w:t xml:space="preserve">в себя общественно-деловой центр для проведения масштабных деловых мероприятий, офисные лабораторные и производственные помещения, центр технического обеспечения, бизнес-инкубатор, гостиницу и столовую. 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>Технопарк «Жигулевская долина» имеет статус регионального оператора фонда «Сколково», что позволяет создавать условия для развития новых технологических решений и роста компаний-резидентов. Также данный статус обеспечивает резидентам технопарка  доступ к таким сервисам фонда «Сколково» как содействие в привлечении инвестиций.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>Кроме того, в настоящее время ведутся работы по реализации проекта «Жигулевская долина 2», инициатором которого также является государственное автономное учреждение Самарской области «Центр инновационного развития и кластерных инициатив» (срок реализации – с 2016 по 2020 годы).</w:t>
      </w:r>
    </w:p>
    <w:p w:rsidR="00A560F3" w:rsidRPr="00222EF4" w:rsidRDefault="00A560F3" w:rsidP="00222EF4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 xml:space="preserve"> В строительство и запуск собственных производств намерены инвестировать 7 резидентов технопарка. Общая стоимость их проектов составляет </w:t>
      </w:r>
      <w:r w:rsidR="000149E7">
        <w:rPr>
          <w:sz w:val="24"/>
          <w:szCs w:val="24"/>
        </w:rPr>
        <w:t>489,4</w:t>
      </w:r>
      <w:r w:rsidRPr="00222EF4">
        <w:rPr>
          <w:sz w:val="24"/>
          <w:szCs w:val="24"/>
        </w:rPr>
        <w:t xml:space="preserve"> млн. рублей. Фактически по состоянию на 01.</w:t>
      </w:r>
      <w:r w:rsidR="000149E7">
        <w:rPr>
          <w:sz w:val="24"/>
          <w:szCs w:val="24"/>
        </w:rPr>
        <w:t>10</w:t>
      </w:r>
      <w:r w:rsidRPr="00222EF4">
        <w:rPr>
          <w:sz w:val="24"/>
          <w:szCs w:val="24"/>
        </w:rPr>
        <w:t>.2019 с начала реализации прое</w:t>
      </w:r>
      <w:r w:rsidR="00D401F2">
        <w:rPr>
          <w:sz w:val="24"/>
          <w:szCs w:val="24"/>
        </w:rPr>
        <w:t xml:space="preserve">кта освоено </w:t>
      </w:r>
      <w:r w:rsidR="000149E7">
        <w:rPr>
          <w:sz w:val="24"/>
          <w:szCs w:val="24"/>
        </w:rPr>
        <w:t>104,5</w:t>
      </w:r>
      <w:r w:rsidRPr="00222EF4">
        <w:rPr>
          <w:sz w:val="24"/>
          <w:szCs w:val="24"/>
        </w:rPr>
        <w:t xml:space="preserve"> млн.</w:t>
      </w:r>
      <w:r w:rsidR="00D401F2">
        <w:rPr>
          <w:sz w:val="24"/>
          <w:szCs w:val="24"/>
        </w:rPr>
        <w:t xml:space="preserve"> </w:t>
      </w:r>
      <w:r w:rsidRPr="00222EF4">
        <w:rPr>
          <w:sz w:val="24"/>
          <w:szCs w:val="24"/>
        </w:rPr>
        <w:t>руб</w:t>
      </w:r>
      <w:r w:rsidR="00D401F2">
        <w:rPr>
          <w:sz w:val="24"/>
          <w:szCs w:val="24"/>
        </w:rPr>
        <w:t>лей</w:t>
      </w:r>
      <w:r w:rsidR="000149E7">
        <w:rPr>
          <w:sz w:val="24"/>
          <w:szCs w:val="24"/>
        </w:rPr>
        <w:t xml:space="preserve"> (внебюджетные средства)</w:t>
      </w:r>
      <w:r w:rsidRPr="00222EF4">
        <w:rPr>
          <w:sz w:val="24"/>
          <w:szCs w:val="24"/>
        </w:rPr>
        <w:t>.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>На территории технопарка уже имеются собственные очистные сооружения и котельная. Изменение Министерством строительства Самарской области сроков подключения коммуникаций (не ранее 2020 года) привело к переносу ранее запланированных сроков реализации инвестиционного проекта.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 xml:space="preserve"> В текущем периоде подана заявка в НКО «Фонд Развития Моногородов» на софинансирование расходов Самарской области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на территории «Жигулёвская долина 2» в моногороде Тольятти.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 xml:space="preserve">В Тольятти на базе производственной площадки СИБУР действует первый в Самарской области частный Индустриальный парк «Тольяттисинтез» (далее по разделу - Индустриальный парк), в котором размещены производства различной направленности.    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 xml:space="preserve">На территории Индустриального парка создана развитая транспортная инфраструктура: железнодорожные пути, автомобильные дороги, пункты весового контроля и другое. </w:t>
      </w:r>
    </w:p>
    <w:p w:rsidR="00A560F3" w:rsidRPr="00222EF4" w:rsidRDefault="00A560F3" w:rsidP="00222EF4">
      <w:pPr>
        <w:spacing w:line="276" w:lineRule="auto"/>
        <w:jc w:val="both"/>
        <w:rPr>
          <w:sz w:val="24"/>
          <w:szCs w:val="24"/>
        </w:rPr>
      </w:pPr>
      <w:r w:rsidRPr="00222EF4">
        <w:rPr>
          <w:sz w:val="24"/>
          <w:szCs w:val="24"/>
        </w:rPr>
        <w:t xml:space="preserve">            По состоянию на 01.</w:t>
      </w:r>
      <w:r w:rsidR="000149E7">
        <w:rPr>
          <w:sz w:val="24"/>
          <w:szCs w:val="24"/>
        </w:rPr>
        <w:t>10</w:t>
      </w:r>
      <w:r w:rsidRPr="00222EF4">
        <w:rPr>
          <w:sz w:val="24"/>
          <w:szCs w:val="24"/>
        </w:rPr>
        <w:t>.2019 резидентами Индустриального парка являются 1</w:t>
      </w:r>
      <w:r w:rsidR="000149E7">
        <w:rPr>
          <w:sz w:val="24"/>
          <w:szCs w:val="24"/>
        </w:rPr>
        <w:t>6</w:t>
      </w:r>
      <w:r w:rsidRPr="00222EF4">
        <w:rPr>
          <w:sz w:val="24"/>
          <w:szCs w:val="24"/>
        </w:rPr>
        <w:t xml:space="preserve"> компаний, создано </w:t>
      </w:r>
      <w:r w:rsidR="000149E7">
        <w:rPr>
          <w:sz w:val="24"/>
          <w:szCs w:val="24"/>
        </w:rPr>
        <w:t>432</w:t>
      </w:r>
      <w:r w:rsidRPr="00222EF4">
        <w:rPr>
          <w:sz w:val="24"/>
          <w:szCs w:val="24"/>
        </w:rPr>
        <w:t xml:space="preserve"> временных рабочих мест (без учета якорного резидента – ООО «СИБУР Тольятти», фактически освоено </w:t>
      </w:r>
      <w:r w:rsidR="000149E7">
        <w:rPr>
          <w:sz w:val="24"/>
          <w:szCs w:val="24"/>
        </w:rPr>
        <w:t>806,5</w:t>
      </w:r>
      <w:r w:rsidRPr="00222EF4">
        <w:rPr>
          <w:sz w:val="24"/>
          <w:szCs w:val="24"/>
        </w:rPr>
        <w:t xml:space="preserve"> млн. рублей инвестиций в основной капитал (за весь период реализации проекта).</w:t>
      </w:r>
    </w:p>
    <w:p w:rsidR="00A560F3" w:rsidRPr="00222EF4" w:rsidRDefault="00A560F3" w:rsidP="00222EF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>Необходима господдержка в реализации проекта «Реконструкция водовода речной воды» (замена существующего трубопровода в связи с износом).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>Продолжается развитие Особой экономической зоны промышленно-производственного типа «Тольятти» (далее по разделу - ОЭЗ «Тольятти») – одной из наиболее привлекательных площадок для инвестиций, направленной на реализацию проектов отраслей машиностроения, нефтехимического производства, легкой промышленности, производства строительных материалов и другое. Объемы инвестиций ОЭЗ «Тольятти» в настоящее время не учитываются при подсчете фактического объема инвестиций городского округа Тольятти, но имеют важное значение для экономики и населения городского округа Тольятти.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lastRenderedPageBreak/>
        <w:t xml:space="preserve">ОЭЗ «Тольятти» предназначена для реализации крупных инвестиционных проектов. Льготное налогообложение инвесторов, особый административный режим, режим свободной таможенной зоны, необходимая инфраструктура, гарантия Правительства Российской Федерации – создают наиболее привлекательные условия для потенциальных инвесторов. 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 xml:space="preserve"> По состоянию на 01.</w:t>
      </w:r>
      <w:r w:rsidR="000149E7">
        <w:rPr>
          <w:sz w:val="24"/>
          <w:szCs w:val="24"/>
        </w:rPr>
        <w:t>10</w:t>
      </w:r>
      <w:r w:rsidRPr="00222EF4">
        <w:rPr>
          <w:sz w:val="24"/>
          <w:szCs w:val="24"/>
        </w:rPr>
        <w:t xml:space="preserve">.2019 резидентами ОЭЗ «Тольятти» является 21 компания, с которыми подписаны Соглашения об осуществлении промышленно-производственной деятельности. </w:t>
      </w:r>
      <w:r w:rsidR="000149E7">
        <w:rPr>
          <w:sz w:val="24"/>
          <w:szCs w:val="24"/>
        </w:rPr>
        <w:t>Десять</w:t>
      </w:r>
      <w:r w:rsidRPr="00222EF4">
        <w:rPr>
          <w:sz w:val="24"/>
          <w:szCs w:val="24"/>
        </w:rPr>
        <w:t xml:space="preserve"> компаний - резидентов  осуществляют производственную деятельность, </w:t>
      </w:r>
      <w:r w:rsidR="000149E7">
        <w:rPr>
          <w:sz w:val="24"/>
          <w:szCs w:val="24"/>
        </w:rPr>
        <w:t>три</w:t>
      </w:r>
      <w:r w:rsidRPr="00222EF4">
        <w:rPr>
          <w:sz w:val="24"/>
          <w:szCs w:val="24"/>
        </w:rPr>
        <w:t xml:space="preserve"> компании – резидента активно ведут строительно-монтажные работы на своих площадках, остальные компании находятся в стадии проектирования.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 xml:space="preserve">В целях помощи и поддержки в становлении и развитии малого и среднего бизнеса, действует государственная площадка – Бизнес-инкубатор Тольятти (управляющая компания МАУ городского округа Тольятти «Агентство экономического развития»). 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 xml:space="preserve">Резидентам Бизнес-инкубатора Тольятти на льготных условиях предоставляются в аренду офисные помещения, оказываются бесплатные услуги в рамках информационной и консультационной поддержки. </w:t>
      </w:r>
    </w:p>
    <w:p w:rsidR="00A560F3" w:rsidRPr="00222EF4" w:rsidRDefault="00A560F3" w:rsidP="00222EF4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>В регионе продолжена работа по структурированию и подготовке к реализации масштабных инфраструктурных проектов, направленных на усиление связанности внутри Самарско-Тольяттинской агломерации и ее встраивание в международные транспортные коридоры. Осуществляется реализация Плана мероприятий по развитию Самарско-Тольяттинской агломерации  на 2018-2035 годы (Дорожная карта), утвержденного Правительством Самарской области.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 xml:space="preserve">Несмотря на отсутствие реализуемых в городском округе Тольятти проектов муниципально-частного партнерства, вопросы возможности реализации таких проектов прорабатываются, проводятся консультации по обращениям потенциальных частных партнеров, рассматриваются поступающие предложения, оформленные в соответствии с требованиями Федерального закона от 13.07.2015 № 224-ФЗ «О государственно-частном партнерстве, муниципально-частном партнерстве в Российской Федерации и о внесении изменений в отдельные законодательные акты Российской Федерации». 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>В настоящее время взаимодействие администрации городского округа Тольятти с частными инвесторами по реализации инвестиционных проектов осуществляется в рамках 2-х действующих концессионных соглашений, в соответствии с Федеральным законом РФ от 21.07.2005 № 115-ФЗ «О концессионных соглашениях», предусматривающих создание объектов образования (общеобразовательной школы и детского сада) путем реконструкции существующих зданий находящихся в муниципальной собственности.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 xml:space="preserve">В 1 полугодии 2019 года наблюдается снижение бюджетных инвестиций, в том числе из бюджета городского округа Тольятти - в 8,7 раза или на 117,1 млн. рублей до 15,3 млн. рублей. 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 xml:space="preserve">По имеющимся в администрации городского округа Тольятти данным объем бюджетных инвестиций в 2019 году составит </w:t>
      </w:r>
      <w:r w:rsidRPr="000A7005">
        <w:rPr>
          <w:sz w:val="24"/>
          <w:szCs w:val="24"/>
        </w:rPr>
        <w:t xml:space="preserve">порядка </w:t>
      </w:r>
      <w:r w:rsidR="00944C2B" w:rsidRPr="000A7005">
        <w:rPr>
          <w:sz w:val="24"/>
          <w:szCs w:val="24"/>
        </w:rPr>
        <w:t>1,3</w:t>
      </w:r>
      <w:r w:rsidRPr="000A7005">
        <w:rPr>
          <w:sz w:val="24"/>
          <w:szCs w:val="24"/>
        </w:rPr>
        <w:t xml:space="preserve"> мл</w:t>
      </w:r>
      <w:r w:rsidR="00944C2B" w:rsidRPr="000A7005">
        <w:rPr>
          <w:sz w:val="24"/>
          <w:szCs w:val="24"/>
        </w:rPr>
        <w:t>рд</w:t>
      </w:r>
      <w:r w:rsidRPr="00222EF4">
        <w:rPr>
          <w:sz w:val="24"/>
          <w:szCs w:val="24"/>
        </w:rPr>
        <w:t xml:space="preserve">. рублей, в том числе </w:t>
      </w:r>
      <w:r w:rsidR="000A7005" w:rsidRPr="000A7005">
        <w:rPr>
          <w:sz w:val="24"/>
          <w:szCs w:val="24"/>
        </w:rPr>
        <w:t xml:space="preserve">на строительство и реконструкцию зданий и сооружений </w:t>
      </w:r>
      <w:r w:rsidRPr="00222EF4">
        <w:rPr>
          <w:sz w:val="24"/>
          <w:szCs w:val="24"/>
        </w:rPr>
        <w:t xml:space="preserve">за счет средств местного бюджета – </w:t>
      </w:r>
      <w:r w:rsidR="00BC65FE">
        <w:rPr>
          <w:sz w:val="24"/>
          <w:szCs w:val="24"/>
        </w:rPr>
        <w:t>порядка 100</w:t>
      </w:r>
      <w:r w:rsidRPr="00222EF4">
        <w:rPr>
          <w:sz w:val="24"/>
          <w:szCs w:val="24"/>
        </w:rPr>
        <w:t xml:space="preserve"> млн.</w:t>
      </w:r>
      <w:r w:rsidR="00222EF4" w:rsidRPr="00222EF4">
        <w:rPr>
          <w:sz w:val="24"/>
          <w:szCs w:val="24"/>
        </w:rPr>
        <w:t xml:space="preserve"> </w:t>
      </w:r>
      <w:r w:rsidRPr="00222EF4">
        <w:rPr>
          <w:sz w:val="24"/>
          <w:szCs w:val="24"/>
        </w:rPr>
        <w:t>рублей. Кроме того, в общем объеме бюджетных инвестиций за 2019 год в соответствии с методикой расчета статистического показателя учтены также инвестиции в информационно-компьютерное оборудование, объекты интеллектуальной собственности, прочие машины и т.д.</w:t>
      </w:r>
    </w:p>
    <w:p w:rsidR="00A560F3" w:rsidRPr="00222EF4" w:rsidRDefault="00A560F3" w:rsidP="00222EF4">
      <w:pPr>
        <w:pStyle w:val="afb"/>
        <w:numPr>
          <w:ilvl w:val="0"/>
          <w:numId w:val="5"/>
        </w:numPr>
        <w:spacing w:line="276" w:lineRule="auto"/>
        <w:ind w:left="0" w:firstLine="709"/>
        <w:jc w:val="both"/>
        <w:rPr>
          <w:szCs w:val="24"/>
        </w:rPr>
      </w:pPr>
      <w:r w:rsidRPr="00222EF4">
        <w:rPr>
          <w:szCs w:val="24"/>
        </w:rPr>
        <w:lastRenderedPageBreak/>
        <w:t>В 2019 году в рамках развития капитального строительства на территории городского округа Тольятти запланированы следующие мероприятия, финансируемые за счет средств бюджета городского округа Тольятти: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>- проектирование и строительство трех детских садов: (д/с на 120 мест, д/с в Комсомольской районе, мк</w:t>
      </w:r>
      <w:r w:rsidR="008552C3">
        <w:rPr>
          <w:sz w:val="24"/>
          <w:szCs w:val="24"/>
        </w:rPr>
        <w:t>р. Жигулевское море, д/с №210 «Л</w:t>
      </w:r>
      <w:r w:rsidRPr="00222EF4">
        <w:rPr>
          <w:sz w:val="24"/>
          <w:szCs w:val="24"/>
        </w:rPr>
        <w:t>адушки» в мкр. Северный Центрального района и в Автозаводском райо</w:t>
      </w:r>
      <w:r w:rsidR="008552C3">
        <w:rPr>
          <w:sz w:val="24"/>
          <w:szCs w:val="24"/>
        </w:rPr>
        <w:t>не по ул. Южное шоссе,43) – 36,8</w:t>
      </w:r>
      <w:r w:rsidRPr="00222EF4">
        <w:rPr>
          <w:sz w:val="24"/>
          <w:szCs w:val="24"/>
        </w:rPr>
        <w:t xml:space="preserve"> млн.рублей;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>-</w:t>
      </w:r>
      <w:r w:rsidR="0093493E">
        <w:rPr>
          <w:sz w:val="24"/>
          <w:szCs w:val="24"/>
        </w:rPr>
        <w:t xml:space="preserve"> </w:t>
      </w:r>
      <w:r w:rsidRPr="00222EF4">
        <w:rPr>
          <w:sz w:val="24"/>
          <w:szCs w:val="24"/>
        </w:rPr>
        <w:t>проектирование и реконструкция здания МБУ ДО ДМШ №4 им. В.М. Свердлова, со строительством корпуса для МБУ ДО ДХШ им. М.Н. Плисецкой – 0,7 млн.</w:t>
      </w:r>
      <w:r w:rsidR="00222EF4" w:rsidRPr="00222EF4">
        <w:rPr>
          <w:sz w:val="24"/>
          <w:szCs w:val="24"/>
        </w:rPr>
        <w:t xml:space="preserve"> </w:t>
      </w:r>
      <w:r w:rsidRPr="00222EF4">
        <w:rPr>
          <w:sz w:val="24"/>
          <w:szCs w:val="24"/>
        </w:rPr>
        <w:t>рублей;</w:t>
      </w:r>
    </w:p>
    <w:p w:rsidR="00A560F3" w:rsidRPr="00222EF4" w:rsidRDefault="00A560F3" w:rsidP="00222EF4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>- проектирование ФСК в 21 квартале Автозаводского района для МБУДО СДЮСШОР №7 «Акробат» - 4,3 млн.</w:t>
      </w:r>
      <w:r w:rsidR="00222EF4" w:rsidRPr="00222EF4">
        <w:rPr>
          <w:sz w:val="24"/>
          <w:szCs w:val="24"/>
        </w:rPr>
        <w:t xml:space="preserve"> </w:t>
      </w:r>
      <w:r w:rsidRPr="00222EF4">
        <w:rPr>
          <w:sz w:val="24"/>
          <w:szCs w:val="24"/>
        </w:rPr>
        <w:t>рублей;</w:t>
      </w:r>
    </w:p>
    <w:p w:rsidR="00A560F3" w:rsidRPr="00222EF4" w:rsidRDefault="00A560F3" w:rsidP="00222EF4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222EF4">
        <w:rPr>
          <w:sz w:val="24"/>
          <w:szCs w:val="24"/>
        </w:rPr>
        <w:t>- строительство ФСК для МБУ ДО СДЮСШОР №8 «Союз» - 17,4 млн.</w:t>
      </w:r>
      <w:r w:rsidR="00222EF4" w:rsidRPr="00222EF4">
        <w:rPr>
          <w:sz w:val="24"/>
          <w:szCs w:val="24"/>
        </w:rPr>
        <w:t xml:space="preserve"> </w:t>
      </w:r>
      <w:r w:rsidRPr="00222EF4">
        <w:rPr>
          <w:sz w:val="24"/>
          <w:szCs w:val="24"/>
        </w:rPr>
        <w:t>рублей;</w:t>
      </w:r>
    </w:p>
    <w:p w:rsidR="00A560F3" w:rsidRPr="00222EF4" w:rsidRDefault="0093493E" w:rsidP="0093493E">
      <w:pPr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проектирование </w:t>
      </w:r>
      <w:r w:rsidR="00A560F3" w:rsidRPr="00222EF4">
        <w:rPr>
          <w:sz w:val="24"/>
          <w:szCs w:val="24"/>
        </w:rPr>
        <w:t>общеобразовательной школы на территории Автозаводского района (18 кв.). Объем бюджетных инвестиций на 2019 год (средства бюджета городского округа Тольятти) – 4,9 млн. рублей;</w:t>
      </w:r>
    </w:p>
    <w:p w:rsidR="00A560F3" w:rsidRPr="00222EF4" w:rsidRDefault="0093493E" w:rsidP="00222EF4">
      <w:pPr>
        <w:widowControl w:val="0"/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A560F3" w:rsidRPr="00222EF4">
        <w:rPr>
          <w:sz w:val="24"/>
          <w:szCs w:val="24"/>
        </w:rPr>
        <w:t>разработка проектной документации по объекту: «Реконструкция муниципального автономного учреждения искусства «Драматический театр «Колесо» им. народного артиста Российской федерации Г.Б. Дроздова». Объем бюджетных инвестиций на 2019 год (средства бюджета городского округа Тольятти) – 1,7 млн. рублей;</w:t>
      </w:r>
    </w:p>
    <w:p w:rsidR="00A560F3" w:rsidRPr="008302BB" w:rsidRDefault="000149E7" w:rsidP="00222EF4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0149E7">
        <w:rPr>
          <w:sz w:val="24"/>
          <w:szCs w:val="24"/>
        </w:rPr>
        <w:t>разработка проектной документации</w:t>
      </w:r>
      <w:r w:rsidR="00A560F3" w:rsidRPr="000149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реконструкции </w:t>
      </w:r>
      <w:r w:rsidR="00A560F3" w:rsidRPr="008302BB">
        <w:rPr>
          <w:sz w:val="24"/>
          <w:szCs w:val="24"/>
        </w:rPr>
        <w:t>набережной Автозаводского района городского округа Тольятти – 2,8 млн.</w:t>
      </w:r>
      <w:r w:rsidR="00222EF4" w:rsidRPr="008302BB">
        <w:rPr>
          <w:sz w:val="24"/>
          <w:szCs w:val="24"/>
        </w:rPr>
        <w:t xml:space="preserve"> </w:t>
      </w:r>
      <w:r w:rsidR="00A560F3" w:rsidRPr="008302BB">
        <w:rPr>
          <w:sz w:val="24"/>
          <w:szCs w:val="24"/>
        </w:rPr>
        <w:t>рублей;</w:t>
      </w:r>
    </w:p>
    <w:p w:rsidR="00A560F3" w:rsidRPr="00222EF4" w:rsidRDefault="00A560F3" w:rsidP="00222EF4">
      <w:pPr>
        <w:suppressAutoHyphens w:val="0"/>
        <w:spacing w:line="276" w:lineRule="auto"/>
        <w:jc w:val="both"/>
        <w:rPr>
          <w:sz w:val="24"/>
          <w:szCs w:val="24"/>
          <w:lang w:eastAsia="ru-RU"/>
        </w:rPr>
      </w:pPr>
      <w:r w:rsidRPr="005C540F">
        <w:rPr>
          <w:sz w:val="24"/>
          <w:szCs w:val="24"/>
        </w:rPr>
        <w:t xml:space="preserve">           - </w:t>
      </w:r>
      <w:r w:rsidR="005C540F" w:rsidRPr="005C540F">
        <w:rPr>
          <w:sz w:val="24"/>
          <w:szCs w:val="24"/>
        </w:rPr>
        <w:t xml:space="preserve">строительство </w:t>
      </w:r>
      <w:r w:rsidRPr="005C540F">
        <w:rPr>
          <w:sz w:val="24"/>
          <w:szCs w:val="24"/>
          <w:lang w:eastAsia="ru-RU"/>
        </w:rPr>
        <w:t>Выставочн</w:t>
      </w:r>
      <w:r w:rsidR="005C540F">
        <w:rPr>
          <w:sz w:val="24"/>
          <w:szCs w:val="24"/>
          <w:lang w:eastAsia="ru-RU"/>
        </w:rPr>
        <w:t>ого</w:t>
      </w:r>
      <w:r w:rsidRPr="005C540F">
        <w:rPr>
          <w:sz w:val="24"/>
          <w:szCs w:val="24"/>
          <w:lang w:eastAsia="ru-RU"/>
        </w:rPr>
        <w:t xml:space="preserve"> зал</w:t>
      </w:r>
      <w:r w:rsidR="005C540F">
        <w:rPr>
          <w:sz w:val="24"/>
          <w:szCs w:val="24"/>
          <w:lang w:eastAsia="ru-RU"/>
        </w:rPr>
        <w:t>а</w:t>
      </w:r>
      <w:r w:rsidRPr="005C540F">
        <w:rPr>
          <w:sz w:val="24"/>
          <w:szCs w:val="24"/>
          <w:lang w:eastAsia="ru-RU"/>
        </w:rPr>
        <w:t xml:space="preserve"> в честь 50-летия АВТОВАЗа и выпуска первого легкового автомобиля</w:t>
      </w:r>
      <w:r w:rsidRPr="00222EF4">
        <w:rPr>
          <w:sz w:val="24"/>
          <w:szCs w:val="24"/>
          <w:lang w:eastAsia="ru-RU"/>
        </w:rPr>
        <w:t xml:space="preserve"> со сквером, игровыми площадками и фонтаном -24,3 млн.</w:t>
      </w:r>
      <w:r w:rsidR="00222EF4" w:rsidRPr="00222EF4">
        <w:rPr>
          <w:sz w:val="24"/>
          <w:szCs w:val="24"/>
          <w:lang w:eastAsia="ru-RU"/>
        </w:rPr>
        <w:t xml:space="preserve"> </w:t>
      </w:r>
      <w:r w:rsidRPr="00222EF4">
        <w:rPr>
          <w:sz w:val="24"/>
          <w:szCs w:val="24"/>
          <w:lang w:eastAsia="ru-RU"/>
        </w:rPr>
        <w:t>рублей</w:t>
      </w:r>
      <w:r w:rsidR="00222EF4" w:rsidRPr="00222EF4">
        <w:rPr>
          <w:sz w:val="24"/>
          <w:szCs w:val="24"/>
          <w:lang w:eastAsia="ru-RU"/>
        </w:rPr>
        <w:t>;</w:t>
      </w:r>
    </w:p>
    <w:p w:rsidR="00A560F3" w:rsidRPr="00222EF4" w:rsidRDefault="00A560F3" w:rsidP="00222EF4">
      <w:pPr>
        <w:pStyle w:val="afb"/>
        <w:tabs>
          <w:tab w:val="left" w:pos="142"/>
        </w:tabs>
        <w:spacing w:line="276" w:lineRule="auto"/>
        <w:ind w:left="0" w:firstLine="709"/>
        <w:jc w:val="both"/>
        <w:rPr>
          <w:szCs w:val="24"/>
        </w:rPr>
      </w:pPr>
      <w:r w:rsidRPr="00222EF4">
        <w:rPr>
          <w:szCs w:val="24"/>
        </w:rPr>
        <w:t xml:space="preserve">- на разных стадиях подготовительных работ находятся проекты строительства улично-дорожной сети: автомобильной дороги по ул. Механизаторов от ул. Громовой до ул. Лизы Чайкиной; улично - дорожной сети западнее Московского проспекта (первая очередь); магистральной улицы по ул. Офицерской от Южного шоссе до ул. Ворошилова в Автозаводском районе; мостового перехода через реку Волгу с обходом городского округа Тольятти и выходом на автомобильную дорогу М-5 «Урал» (I этап), а также реконструкция автомобильной дороги  Тольятти - Ягодное и Южного шоссе от ул. Заставной до ул. Цеховой с устройством парковочных автостоянок вдоль южных проходных АО «АВТОВАЗ». </w:t>
      </w:r>
    </w:p>
    <w:p w:rsidR="00A560F3" w:rsidRPr="00222EF4" w:rsidRDefault="00A560F3" w:rsidP="00222EF4">
      <w:pPr>
        <w:pStyle w:val="afb"/>
        <w:tabs>
          <w:tab w:val="left" w:pos="142"/>
        </w:tabs>
        <w:spacing w:line="276" w:lineRule="auto"/>
        <w:ind w:left="0" w:firstLine="709"/>
        <w:jc w:val="both"/>
        <w:rPr>
          <w:szCs w:val="24"/>
        </w:rPr>
      </w:pPr>
      <w:r w:rsidRPr="00222EF4">
        <w:rPr>
          <w:szCs w:val="24"/>
        </w:rPr>
        <w:t>Оформлен земельный участок под строительство Центра спортивной гимнастики «Немов-центр» (информация о финансировании отсутствует). Ведутся строительно-монтажные работы физкультурно-спортивного комплекса на площадке «Певческое поле» с привлечением средств в рамках государственно-частного партнерства (информаци</w:t>
      </w:r>
      <w:r w:rsidR="00222EF4" w:rsidRPr="00222EF4">
        <w:rPr>
          <w:szCs w:val="24"/>
        </w:rPr>
        <w:t>я о финансировании отсутствует).</w:t>
      </w:r>
    </w:p>
    <w:p w:rsidR="00A560F3" w:rsidRPr="00222EF4" w:rsidRDefault="00A560F3" w:rsidP="00222EF4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222EF4">
        <w:rPr>
          <w:sz w:val="24"/>
          <w:szCs w:val="24"/>
        </w:rPr>
        <w:t>Таким образом, на основании представленных оценочных данных ведущих промышленных предприятий города, с учетом плановых объемов инвестиций в основной капитал резидентов ТОСЭР «Тольятти», а также плановых сумм бюджетных инвестиций до конца 2019 года сумма инвестиций в основной капитал на 2019 год скорректирован</w:t>
      </w:r>
      <w:r w:rsidR="00222EF4" w:rsidRPr="00222EF4">
        <w:rPr>
          <w:sz w:val="24"/>
          <w:szCs w:val="24"/>
        </w:rPr>
        <w:t>а</w:t>
      </w:r>
      <w:r w:rsidRPr="00222EF4">
        <w:rPr>
          <w:sz w:val="24"/>
          <w:szCs w:val="24"/>
        </w:rPr>
        <w:t xml:space="preserve"> в сторону увеличения и оценочно составит 31 165,5 млн. рублей, что на 9,8% больше, чем в 2018 году (на 4,4% в сопоставимых ценах), в том числе </w:t>
      </w:r>
      <w:r w:rsidRPr="00222EF4">
        <w:rPr>
          <w:color w:val="000000"/>
          <w:sz w:val="24"/>
          <w:szCs w:val="24"/>
        </w:rPr>
        <w:t xml:space="preserve">по внебюджетным инвестициям - рост на 9,3% к 2018 году. </w:t>
      </w:r>
    </w:p>
    <w:p w:rsidR="00A560F3" w:rsidRDefault="00A560F3" w:rsidP="00A560F3">
      <w:pPr>
        <w:spacing w:line="276" w:lineRule="auto"/>
        <w:jc w:val="center"/>
        <w:rPr>
          <w:sz w:val="24"/>
          <w:szCs w:val="24"/>
        </w:rPr>
      </w:pPr>
    </w:p>
    <w:p w:rsidR="00A560F3" w:rsidRDefault="00A560F3" w:rsidP="00A560F3">
      <w:pPr>
        <w:spacing w:line="276" w:lineRule="auto"/>
        <w:jc w:val="center"/>
        <w:rPr>
          <w:sz w:val="24"/>
          <w:szCs w:val="24"/>
        </w:rPr>
      </w:pPr>
      <w:r w:rsidRPr="002E4DA4">
        <w:rPr>
          <w:sz w:val="24"/>
          <w:szCs w:val="24"/>
        </w:rPr>
        <w:lastRenderedPageBreak/>
        <w:t>Ожидаемое выполнение прогнозных показателей по разделу «Инвестиции в основной капитал» на 201</w:t>
      </w:r>
      <w:r>
        <w:rPr>
          <w:sz w:val="24"/>
          <w:szCs w:val="24"/>
        </w:rPr>
        <w:t>9</w:t>
      </w:r>
      <w:r w:rsidRPr="002E4DA4">
        <w:rPr>
          <w:sz w:val="24"/>
          <w:szCs w:val="24"/>
        </w:rPr>
        <w:t xml:space="preserve"> год</w:t>
      </w:r>
    </w:p>
    <w:p w:rsidR="005D0850" w:rsidRPr="002E4DA4" w:rsidRDefault="005D0850" w:rsidP="00A560F3">
      <w:pPr>
        <w:spacing w:line="276" w:lineRule="auto"/>
        <w:jc w:val="center"/>
        <w:rPr>
          <w:sz w:val="24"/>
          <w:szCs w:val="24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1275"/>
        <w:gridCol w:w="1276"/>
        <w:gridCol w:w="1276"/>
        <w:gridCol w:w="1276"/>
      </w:tblGrid>
      <w:tr w:rsidR="00A560F3" w:rsidRPr="002E4DA4" w:rsidTr="005469D6">
        <w:trPr>
          <w:tblHeader/>
          <w:jc w:val="center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snapToGrid w:val="0"/>
              <w:ind w:firstLine="5"/>
              <w:jc w:val="center"/>
              <w:rPr>
                <w:sz w:val="24"/>
                <w:szCs w:val="24"/>
              </w:rPr>
            </w:pPr>
          </w:p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 w:rsidRPr="002E4DA4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 w:rsidRPr="002E4DA4">
              <w:rPr>
                <w:sz w:val="24"/>
                <w:szCs w:val="24"/>
              </w:rPr>
              <w:t>Единица измере</w:t>
            </w:r>
          </w:p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 w:rsidRPr="002E4DA4">
              <w:rPr>
                <w:sz w:val="24"/>
                <w:szCs w:val="24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0F3" w:rsidRPr="002E4DA4" w:rsidRDefault="00A560F3" w:rsidP="005469D6">
            <w:pPr>
              <w:jc w:val="center"/>
              <w:rPr>
                <w:sz w:val="24"/>
                <w:szCs w:val="24"/>
              </w:rPr>
            </w:pPr>
            <w:r w:rsidRPr="002E4DA4">
              <w:rPr>
                <w:sz w:val="24"/>
                <w:szCs w:val="24"/>
              </w:rPr>
              <w:t>Прогноз на 201</w:t>
            </w:r>
            <w:r>
              <w:rPr>
                <w:sz w:val="24"/>
                <w:szCs w:val="24"/>
              </w:rPr>
              <w:t xml:space="preserve">9 </w:t>
            </w:r>
            <w:r w:rsidRPr="002E4DA4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F3" w:rsidRPr="002E4DA4" w:rsidRDefault="00A560F3" w:rsidP="005469D6">
            <w:pPr>
              <w:jc w:val="center"/>
              <w:rPr>
                <w:sz w:val="24"/>
                <w:szCs w:val="24"/>
              </w:rPr>
            </w:pPr>
            <w:r w:rsidRPr="002E4DA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E4DA4">
              <w:rPr>
                <w:sz w:val="24"/>
                <w:szCs w:val="24"/>
              </w:rPr>
              <w:t xml:space="preserve"> год (оценка)</w:t>
            </w:r>
          </w:p>
        </w:tc>
      </w:tr>
      <w:tr w:rsidR="00A560F3" w:rsidRPr="002E4DA4" w:rsidTr="005469D6">
        <w:trPr>
          <w:trHeight w:val="249"/>
          <w:tblHeader/>
          <w:jc w:val="center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0F3" w:rsidRPr="002E4DA4" w:rsidRDefault="00A560F3" w:rsidP="005469D6">
            <w:pPr>
              <w:snapToGrid w:val="0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0F3" w:rsidRPr="002E4DA4" w:rsidRDefault="00A560F3" w:rsidP="005469D6">
            <w:pPr>
              <w:snapToGrid w:val="0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0F3" w:rsidRDefault="00A560F3" w:rsidP="005469D6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1 вариант (консерва</w:t>
            </w:r>
          </w:p>
          <w:p w:rsidR="00A560F3" w:rsidRPr="00F66BD8" w:rsidRDefault="00A560F3" w:rsidP="005469D6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тивный)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0F3" w:rsidRPr="00F66BD8" w:rsidRDefault="00A560F3" w:rsidP="005469D6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2 вариант</w:t>
            </w:r>
          </w:p>
          <w:p w:rsidR="00A560F3" w:rsidRPr="00F66BD8" w:rsidRDefault="00A560F3" w:rsidP="005469D6">
            <w:pPr>
              <w:jc w:val="center"/>
              <w:rPr>
                <w:sz w:val="24"/>
                <w:szCs w:val="24"/>
              </w:rPr>
            </w:pPr>
            <w:r w:rsidRPr="00F66BD8">
              <w:rPr>
                <w:sz w:val="24"/>
                <w:szCs w:val="24"/>
              </w:rPr>
              <w:t>(базовый)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0F3" w:rsidRDefault="00A560F3" w:rsidP="005469D6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 вариант</w:t>
            </w:r>
          </w:p>
          <w:p w:rsidR="00A560F3" w:rsidRPr="005319C7" w:rsidRDefault="00A560F3" w:rsidP="005469D6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(целевой)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0F3" w:rsidRPr="002E4DA4" w:rsidRDefault="00A560F3" w:rsidP="005469D6">
            <w:pPr>
              <w:snapToGrid w:val="0"/>
              <w:ind w:firstLine="5"/>
              <w:jc w:val="center"/>
              <w:rPr>
                <w:sz w:val="24"/>
                <w:szCs w:val="24"/>
              </w:rPr>
            </w:pPr>
          </w:p>
        </w:tc>
      </w:tr>
      <w:tr w:rsidR="00A560F3" w:rsidRPr="002E4DA4" w:rsidTr="005469D6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0F3" w:rsidRPr="002E4DA4" w:rsidRDefault="00A560F3" w:rsidP="005469D6">
            <w:pPr>
              <w:ind w:firstLine="5"/>
              <w:rPr>
                <w:sz w:val="24"/>
                <w:szCs w:val="24"/>
              </w:rPr>
            </w:pPr>
            <w:r w:rsidRPr="002E4DA4">
              <w:rPr>
                <w:sz w:val="24"/>
                <w:szCs w:val="24"/>
              </w:rPr>
              <w:t xml:space="preserve">Объем инвестиций в основной капитал организаций за счет всех источников финансирования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 w:rsidRPr="002E4DA4">
              <w:rPr>
                <w:sz w:val="24"/>
                <w:szCs w:val="24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27 714,8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29 598,6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0F3" w:rsidRPr="00830E2A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 w:rsidRPr="00830E2A">
              <w:rPr>
                <w:sz w:val="24"/>
                <w:szCs w:val="24"/>
              </w:rPr>
              <w:t>31 165,5</w:t>
            </w:r>
          </w:p>
        </w:tc>
      </w:tr>
      <w:tr w:rsidR="00A560F3" w:rsidRPr="002E4DA4" w:rsidTr="005469D6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0F3" w:rsidRPr="002E4DA4" w:rsidRDefault="00A560F3" w:rsidP="005469D6">
            <w:pPr>
              <w:ind w:firstLine="5"/>
              <w:rPr>
                <w:sz w:val="24"/>
                <w:szCs w:val="24"/>
              </w:rPr>
            </w:pPr>
            <w:r w:rsidRPr="002E4DA4">
              <w:rPr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 w:rsidRPr="002E4DA4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</w:tr>
      <w:tr w:rsidR="00A560F3" w:rsidRPr="002E4DA4" w:rsidTr="005469D6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0F3" w:rsidRPr="002E4DA4" w:rsidRDefault="00A560F3" w:rsidP="005469D6">
            <w:pPr>
              <w:rPr>
                <w:sz w:val="24"/>
                <w:szCs w:val="24"/>
              </w:rPr>
            </w:pPr>
            <w:r w:rsidRPr="002E4DA4">
              <w:rPr>
                <w:sz w:val="24"/>
                <w:szCs w:val="24"/>
              </w:rPr>
              <w:t xml:space="preserve">Инвестиции за счет собственных средств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 w:rsidRPr="002E4DA4">
              <w:rPr>
                <w:sz w:val="24"/>
                <w:szCs w:val="24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19 398,8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18 940,6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20 257,5</w:t>
            </w:r>
          </w:p>
        </w:tc>
      </w:tr>
      <w:tr w:rsidR="00A560F3" w:rsidRPr="002E4DA4" w:rsidTr="005469D6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0F3" w:rsidRPr="002E4DA4" w:rsidRDefault="00A560F3" w:rsidP="005469D6">
            <w:pPr>
              <w:rPr>
                <w:sz w:val="24"/>
                <w:szCs w:val="24"/>
              </w:rPr>
            </w:pPr>
            <w:r w:rsidRPr="002E4DA4">
              <w:rPr>
                <w:sz w:val="24"/>
                <w:szCs w:val="24"/>
              </w:rPr>
              <w:t>Инвестиции за счет привлеченных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 w:rsidRPr="002E4DA4">
              <w:rPr>
                <w:sz w:val="24"/>
                <w:szCs w:val="24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9 278,6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10 658,0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10 908,0</w:t>
            </w:r>
          </w:p>
        </w:tc>
      </w:tr>
      <w:tr w:rsidR="00A560F3" w:rsidRPr="002E4DA4" w:rsidTr="005469D6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0F3" w:rsidRPr="002E4DA4" w:rsidRDefault="00A560F3" w:rsidP="005469D6">
            <w:pPr>
              <w:rPr>
                <w:sz w:val="24"/>
                <w:szCs w:val="24"/>
              </w:rPr>
            </w:pPr>
            <w:r w:rsidRPr="002E4DA4">
              <w:rPr>
                <w:sz w:val="24"/>
                <w:szCs w:val="24"/>
              </w:rPr>
              <w:t>Инвестиции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 w:rsidRPr="002E4DA4">
              <w:rPr>
                <w:sz w:val="24"/>
                <w:szCs w:val="24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0F3" w:rsidRPr="002E4DA4" w:rsidRDefault="00881B90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434,3</w:t>
            </w:r>
          </w:p>
        </w:tc>
      </w:tr>
      <w:tr w:rsidR="00A560F3" w:rsidRPr="002E4DA4" w:rsidTr="005469D6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0F3" w:rsidRPr="002E4DA4" w:rsidRDefault="00A560F3" w:rsidP="005469D6">
            <w:pPr>
              <w:rPr>
                <w:sz w:val="24"/>
                <w:szCs w:val="24"/>
              </w:rPr>
            </w:pPr>
            <w:r w:rsidRPr="002E4DA4">
              <w:rPr>
                <w:sz w:val="24"/>
                <w:szCs w:val="24"/>
              </w:rPr>
              <w:t>Инвестиции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 w:rsidRPr="002E4DA4">
              <w:rPr>
                <w:sz w:val="24"/>
                <w:szCs w:val="24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0F3" w:rsidRPr="002E4DA4" w:rsidRDefault="00881B90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570,2</w:t>
            </w:r>
          </w:p>
        </w:tc>
      </w:tr>
      <w:tr w:rsidR="00A560F3" w:rsidRPr="002E4DA4" w:rsidTr="005469D6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0F3" w:rsidRPr="002E4DA4" w:rsidRDefault="00A560F3" w:rsidP="005469D6">
            <w:pPr>
              <w:rPr>
                <w:sz w:val="24"/>
                <w:szCs w:val="24"/>
              </w:rPr>
            </w:pPr>
            <w:r w:rsidRPr="002E4DA4">
              <w:rPr>
                <w:sz w:val="24"/>
                <w:szCs w:val="24"/>
              </w:rPr>
              <w:t>Инвестиции за счет средств бюджета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 w:rsidRPr="002E4DA4">
              <w:rPr>
                <w:sz w:val="24"/>
                <w:szCs w:val="24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0F3" w:rsidRPr="002E4DA4" w:rsidRDefault="00A560F3" w:rsidP="005469D6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286,2</w:t>
            </w:r>
          </w:p>
        </w:tc>
      </w:tr>
    </w:tbl>
    <w:p w:rsidR="00A560F3" w:rsidRPr="005319C7" w:rsidRDefault="00A560F3" w:rsidP="00A560F3">
      <w:pPr>
        <w:spacing w:line="276" w:lineRule="auto"/>
        <w:ind w:firstLine="709"/>
        <w:jc w:val="both"/>
        <w:rPr>
          <w:sz w:val="24"/>
          <w:szCs w:val="24"/>
          <w:highlight w:val="yellow"/>
        </w:rPr>
      </w:pPr>
    </w:p>
    <w:p w:rsidR="00E86D13" w:rsidRDefault="00D55ABA" w:rsidP="00222EF4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9C2BAD">
        <w:rPr>
          <w:rFonts w:eastAsia="Calibri"/>
          <w:sz w:val="24"/>
          <w:szCs w:val="24"/>
          <w:lang w:eastAsia="ar-SA"/>
        </w:rPr>
        <w:t xml:space="preserve">Приоритетным направлением </w:t>
      </w:r>
      <w:r w:rsidRPr="00D55ABA">
        <w:rPr>
          <w:rFonts w:eastAsia="Calibri"/>
          <w:b/>
          <w:sz w:val="24"/>
          <w:szCs w:val="24"/>
          <w:lang w:eastAsia="ar-SA"/>
        </w:rPr>
        <w:t>жилищной политики</w:t>
      </w:r>
      <w:bookmarkStart w:id="3" w:name="жилье"/>
      <w:bookmarkEnd w:id="3"/>
      <w:r w:rsidRPr="009C2BAD">
        <w:rPr>
          <w:rFonts w:eastAsia="Calibri"/>
          <w:sz w:val="24"/>
          <w:szCs w:val="24"/>
          <w:lang w:eastAsia="ar-SA"/>
        </w:rPr>
        <w:t xml:space="preserve"> городского округа Тольятти является </w:t>
      </w:r>
      <w:r w:rsidR="00E86D13" w:rsidRPr="00E86D13">
        <w:rPr>
          <w:rFonts w:eastAsia="Calibri"/>
          <w:sz w:val="24"/>
          <w:szCs w:val="24"/>
          <w:lang w:eastAsia="ar-SA"/>
        </w:rPr>
        <w:t>выполнение текущих обязательств государства по обеспечению жильем льготных категорий граждан и совершенствование нормативной и правовой базы реализации жилищной политики</w:t>
      </w:r>
      <w:r w:rsidR="00E86D13">
        <w:rPr>
          <w:rFonts w:eastAsia="Calibri"/>
          <w:sz w:val="24"/>
          <w:szCs w:val="24"/>
          <w:lang w:eastAsia="ar-SA"/>
        </w:rPr>
        <w:t>.</w:t>
      </w:r>
    </w:p>
    <w:p w:rsidR="00D55ABA" w:rsidRPr="008B49AC" w:rsidRDefault="00D55ABA" w:rsidP="00222EF4">
      <w:pPr>
        <w:pStyle w:val="aff0"/>
        <w:spacing w:line="276" w:lineRule="auto"/>
        <w:rPr>
          <w:sz w:val="24"/>
          <w:szCs w:val="24"/>
          <w:highlight w:val="yellow"/>
        </w:rPr>
      </w:pPr>
      <w:r w:rsidRPr="009C2BAD">
        <w:rPr>
          <w:sz w:val="24"/>
          <w:szCs w:val="24"/>
        </w:rPr>
        <w:t>В городском округе Тольятти в 1 полугодии 2019 года наблюдается положительная динамика ввода в действие жилых домов (квартир) по сравнению с аналогичным периодом 2018 года: общий объем, введенного в эксплуатацию жилья (квартир), составил 26,6 тыс. кв.</w:t>
      </w:r>
      <w:r w:rsidR="004A053C">
        <w:rPr>
          <w:sz w:val="24"/>
          <w:szCs w:val="24"/>
        </w:rPr>
        <w:t xml:space="preserve"> </w:t>
      </w:r>
      <w:r w:rsidRPr="009C2BAD">
        <w:rPr>
          <w:sz w:val="24"/>
          <w:szCs w:val="24"/>
        </w:rPr>
        <w:t>м</w:t>
      </w:r>
      <w:r w:rsidR="004A053C">
        <w:rPr>
          <w:sz w:val="24"/>
          <w:szCs w:val="24"/>
        </w:rPr>
        <w:t>етров</w:t>
      </w:r>
      <w:r w:rsidRPr="009C2BAD">
        <w:rPr>
          <w:sz w:val="24"/>
          <w:szCs w:val="24"/>
        </w:rPr>
        <w:t xml:space="preserve">, что </w:t>
      </w:r>
      <w:r w:rsidR="002B3D0F" w:rsidRPr="002B3D0F">
        <w:rPr>
          <w:rFonts w:eastAsia="Calibri"/>
          <w:sz w:val="24"/>
          <w:szCs w:val="24"/>
          <w:lang w:eastAsia="ar-SA"/>
        </w:rPr>
        <w:t>на</w:t>
      </w:r>
      <w:r w:rsidRPr="002B3D0F">
        <w:rPr>
          <w:rFonts w:eastAsia="Calibri"/>
          <w:sz w:val="24"/>
          <w:szCs w:val="24"/>
          <w:lang w:eastAsia="ar-SA"/>
        </w:rPr>
        <w:t xml:space="preserve"> 5,6 раз выше</w:t>
      </w:r>
      <w:r w:rsidRPr="009C2BAD">
        <w:rPr>
          <w:sz w:val="24"/>
          <w:szCs w:val="24"/>
        </w:rPr>
        <w:t xml:space="preserve"> аналогичного периода 2018 года. </w:t>
      </w:r>
    </w:p>
    <w:p w:rsidR="00D55ABA" w:rsidRPr="009C2BAD" w:rsidRDefault="00D55ABA" w:rsidP="00222EF4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9C2BAD">
        <w:rPr>
          <w:rFonts w:eastAsia="Calibri"/>
          <w:sz w:val="24"/>
          <w:szCs w:val="24"/>
          <w:lang w:eastAsia="ar-SA"/>
        </w:rPr>
        <w:t>В соответствии с соглашением между министерством с</w:t>
      </w:r>
      <w:r w:rsidR="001B2F61">
        <w:rPr>
          <w:rFonts w:eastAsia="Calibri"/>
          <w:sz w:val="24"/>
          <w:szCs w:val="24"/>
          <w:lang w:eastAsia="ar-SA"/>
        </w:rPr>
        <w:t xml:space="preserve">троительства Самарской области </w:t>
      </w:r>
      <w:r w:rsidRPr="009C2BAD">
        <w:rPr>
          <w:rFonts w:eastAsia="Calibri"/>
          <w:sz w:val="24"/>
          <w:szCs w:val="24"/>
          <w:lang w:eastAsia="ar-SA"/>
        </w:rPr>
        <w:t>и администрацией городского округа Тольятти об установлении планового задания по вводу жилья для городского округа Тольятти на 2019 год</w:t>
      </w:r>
      <w:r w:rsidR="004A053C">
        <w:rPr>
          <w:rFonts w:eastAsia="Calibri"/>
          <w:sz w:val="24"/>
          <w:szCs w:val="24"/>
          <w:lang w:eastAsia="ar-SA"/>
        </w:rPr>
        <w:t xml:space="preserve"> (далее</w:t>
      </w:r>
      <w:r w:rsidR="00222EF4">
        <w:rPr>
          <w:rFonts w:eastAsia="Calibri"/>
          <w:sz w:val="24"/>
          <w:szCs w:val="24"/>
          <w:lang w:eastAsia="ar-SA"/>
        </w:rPr>
        <w:t xml:space="preserve"> по разделу</w:t>
      </w:r>
      <w:r w:rsidR="004A053C">
        <w:rPr>
          <w:rFonts w:eastAsia="Calibri"/>
          <w:sz w:val="24"/>
          <w:szCs w:val="24"/>
          <w:lang w:eastAsia="ar-SA"/>
        </w:rPr>
        <w:t xml:space="preserve"> – Соглашение)</w:t>
      </w:r>
      <w:r w:rsidRPr="009C2BAD">
        <w:rPr>
          <w:rFonts w:eastAsia="Calibri"/>
          <w:sz w:val="24"/>
          <w:szCs w:val="24"/>
          <w:lang w:eastAsia="ar-SA"/>
        </w:rPr>
        <w:t>, плановое значение показателя по объему введенных жилых домов (квартир) в городском округе Тольятти в 2019 году составляет 26</w:t>
      </w:r>
      <w:r w:rsidR="001B2F61">
        <w:rPr>
          <w:rFonts w:eastAsia="Calibri"/>
          <w:sz w:val="24"/>
          <w:szCs w:val="24"/>
          <w:lang w:eastAsia="ar-SA"/>
        </w:rPr>
        <w:t>2</w:t>
      </w:r>
      <w:r w:rsidRPr="009C2BAD">
        <w:rPr>
          <w:rFonts w:eastAsia="Calibri"/>
          <w:sz w:val="24"/>
          <w:szCs w:val="24"/>
          <w:lang w:eastAsia="ar-SA"/>
        </w:rPr>
        <w:t>,</w:t>
      </w:r>
      <w:r w:rsidR="001B2F61">
        <w:rPr>
          <w:rFonts w:eastAsia="Calibri"/>
          <w:sz w:val="24"/>
          <w:szCs w:val="24"/>
          <w:lang w:eastAsia="ar-SA"/>
        </w:rPr>
        <w:t>2</w:t>
      </w:r>
      <w:r w:rsidRPr="009C2BAD">
        <w:rPr>
          <w:rFonts w:eastAsia="Calibri"/>
          <w:sz w:val="24"/>
          <w:szCs w:val="24"/>
          <w:lang w:eastAsia="ar-SA"/>
        </w:rPr>
        <w:t xml:space="preserve"> тыс. кв. м общей площади жилья, что на 7</w:t>
      </w:r>
      <w:r w:rsidR="001B2F61">
        <w:rPr>
          <w:rFonts w:eastAsia="Calibri"/>
          <w:sz w:val="24"/>
          <w:szCs w:val="24"/>
          <w:lang w:eastAsia="ar-SA"/>
        </w:rPr>
        <w:t>0,7</w:t>
      </w:r>
      <w:r w:rsidRPr="009C2BAD">
        <w:rPr>
          <w:rFonts w:eastAsia="Calibri"/>
          <w:sz w:val="24"/>
          <w:szCs w:val="24"/>
          <w:lang w:eastAsia="ar-SA"/>
        </w:rPr>
        <w:t>% выше факта 2018 года.</w:t>
      </w:r>
    </w:p>
    <w:p w:rsidR="004A053C" w:rsidRPr="004A053C" w:rsidRDefault="004A053C" w:rsidP="003D30D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4A053C">
        <w:rPr>
          <w:rFonts w:eastAsia="Calibri"/>
          <w:sz w:val="24"/>
          <w:szCs w:val="24"/>
          <w:lang w:eastAsia="ar-SA"/>
        </w:rPr>
        <w:t xml:space="preserve">С учетом фактической ситуации, значение показателя на 2019 год достигнуто не будет, так как застройщики не планируют в 2019 году ввод значительной части объектов, которые были учтены </w:t>
      </w:r>
      <w:r>
        <w:rPr>
          <w:rFonts w:eastAsia="Calibri"/>
          <w:sz w:val="24"/>
          <w:szCs w:val="24"/>
          <w:lang w:eastAsia="ar-SA"/>
        </w:rPr>
        <w:t>М</w:t>
      </w:r>
      <w:r w:rsidRPr="004A053C">
        <w:rPr>
          <w:rFonts w:eastAsia="Calibri"/>
          <w:sz w:val="24"/>
          <w:szCs w:val="24"/>
          <w:lang w:eastAsia="ar-SA"/>
        </w:rPr>
        <w:t xml:space="preserve">инистерством строительства </w:t>
      </w:r>
      <w:r>
        <w:rPr>
          <w:rFonts w:eastAsia="Calibri"/>
          <w:sz w:val="24"/>
          <w:szCs w:val="24"/>
          <w:lang w:eastAsia="ar-SA"/>
        </w:rPr>
        <w:t xml:space="preserve">Самарской области </w:t>
      </w:r>
      <w:r w:rsidRPr="004A053C">
        <w:rPr>
          <w:rFonts w:eastAsia="Calibri"/>
          <w:sz w:val="24"/>
          <w:szCs w:val="24"/>
          <w:lang w:eastAsia="ar-SA"/>
        </w:rPr>
        <w:t xml:space="preserve">при расчете величины планового задания. Министерство строительства </w:t>
      </w:r>
      <w:r>
        <w:rPr>
          <w:rFonts w:eastAsia="Calibri"/>
          <w:sz w:val="24"/>
          <w:szCs w:val="24"/>
          <w:lang w:eastAsia="ar-SA"/>
        </w:rPr>
        <w:t xml:space="preserve">Самарской области </w:t>
      </w:r>
      <w:r w:rsidRPr="004A053C">
        <w:rPr>
          <w:rFonts w:eastAsia="Calibri"/>
          <w:sz w:val="24"/>
          <w:szCs w:val="24"/>
          <w:lang w:eastAsia="ar-SA"/>
        </w:rPr>
        <w:t xml:space="preserve">было уведомлено о данном факте до заключения </w:t>
      </w:r>
      <w:r>
        <w:rPr>
          <w:rFonts w:eastAsia="Calibri"/>
          <w:sz w:val="24"/>
          <w:szCs w:val="24"/>
          <w:lang w:eastAsia="ar-SA"/>
        </w:rPr>
        <w:t>С</w:t>
      </w:r>
      <w:r w:rsidRPr="004A053C">
        <w:rPr>
          <w:rFonts w:eastAsia="Calibri"/>
          <w:sz w:val="24"/>
          <w:szCs w:val="24"/>
          <w:lang w:eastAsia="ar-SA"/>
        </w:rPr>
        <w:t xml:space="preserve">оглашения (исх. № 1398/5 от 18.02.2019), однако данные доводы не были приняты во внимание. </w:t>
      </w:r>
    </w:p>
    <w:p w:rsidR="00D55ABA" w:rsidRPr="004A053C" w:rsidRDefault="004A053C" w:rsidP="003D30D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4A053C">
        <w:rPr>
          <w:rFonts w:eastAsia="Calibri"/>
          <w:sz w:val="24"/>
          <w:szCs w:val="24"/>
          <w:lang w:eastAsia="ar-SA"/>
        </w:rPr>
        <w:t xml:space="preserve">В связи с </w:t>
      </w:r>
      <w:r>
        <w:rPr>
          <w:rFonts w:eastAsia="Calibri"/>
          <w:sz w:val="24"/>
          <w:szCs w:val="24"/>
          <w:lang w:eastAsia="ar-SA"/>
        </w:rPr>
        <w:t>этим</w:t>
      </w:r>
      <w:r w:rsidRPr="004A053C">
        <w:rPr>
          <w:rFonts w:eastAsia="Calibri"/>
          <w:sz w:val="24"/>
          <w:szCs w:val="24"/>
          <w:lang w:eastAsia="ar-SA"/>
        </w:rPr>
        <w:t xml:space="preserve">, администрация городского округа Тольятти подготовила и направила в </w:t>
      </w:r>
      <w:r>
        <w:rPr>
          <w:rFonts w:eastAsia="Calibri"/>
          <w:sz w:val="24"/>
          <w:szCs w:val="24"/>
          <w:lang w:eastAsia="ar-SA"/>
        </w:rPr>
        <w:t>М</w:t>
      </w:r>
      <w:r w:rsidRPr="004A053C">
        <w:rPr>
          <w:rFonts w:eastAsia="Calibri"/>
          <w:sz w:val="24"/>
          <w:szCs w:val="24"/>
          <w:lang w:eastAsia="ar-SA"/>
        </w:rPr>
        <w:t xml:space="preserve">инистерство строительства Самарской области письмо о снижении планового задания </w:t>
      </w:r>
      <w:r w:rsidRPr="004A053C">
        <w:rPr>
          <w:rFonts w:eastAsia="Calibri"/>
          <w:sz w:val="24"/>
          <w:szCs w:val="24"/>
          <w:lang w:eastAsia="ar-SA"/>
        </w:rPr>
        <w:lastRenderedPageBreak/>
        <w:t>по вводу жилья для городского округа Тольятти на 2019 год с 26</w:t>
      </w:r>
      <w:r w:rsidR="001B2F61">
        <w:rPr>
          <w:rFonts w:eastAsia="Calibri"/>
          <w:sz w:val="24"/>
          <w:szCs w:val="24"/>
          <w:lang w:eastAsia="ar-SA"/>
        </w:rPr>
        <w:t>2</w:t>
      </w:r>
      <w:r w:rsidRPr="004A053C">
        <w:rPr>
          <w:rFonts w:eastAsia="Calibri"/>
          <w:sz w:val="24"/>
          <w:szCs w:val="24"/>
          <w:lang w:eastAsia="ar-SA"/>
        </w:rPr>
        <w:t>,</w:t>
      </w:r>
      <w:r w:rsidR="001B2F61">
        <w:rPr>
          <w:rFonts w:eastAsia="Calibri"/>
          <w:sz w:val="24"/>
          <w:szCs w:val="24"/>
          <w:lang w:eastAsia="ar-SA"/>
        </w:rPr>
        <w:t>2</w:t>
      </w:r>
      <w:r w:rsidRPr="004A053C">
        <w:rPr>
          <w:rFonts w:eastAsia="Calibri"/>
          <w:sz w:val="24"/>
          <w:szCs w:val="24"/>
          <w:lang w:eastAsia="ar-SA"/>
        </w:rPr>
        <w:t xml:space="preserve"> тыс. кв. м до 133,0 тыс. кв. м (исх. № 7433/5 от 23.08.2019).</w:t>
      </w:r>
    </w:p>
    <w:p w:rsidR="004A053C" w:rsidRDefault="004A053C" w:rsidP="00D55ABA">
      <w:pPr>
        <w:spacing w:line="300" w:lineRule="auto"/>
        <w:ind w:firstLine="709"/>
        <w:jc w:val="center"/>
        <w:rPr>
          <w:rFonts w:eastAsia="Calibri"/>
          <w:sz w:val="24"/>
          <w:szCs w:val="24"/>
          <w:lang w:eastAsia="ar-SA"/>
        </w:rPr>
      </w:pPr>
    </w:p>
    <w:p w:rsidR="004A053C" w:rsidRDefault="00D55ABA" w:rsidP="00FC040F">
      <w:pPr>
        <w:spacing w:line="276" w:lineRule="auto"/>
        <w:ind w:firstLine="709"/>
        <w:jc w:val="center"/>
        <w:rPr>
          <w:rFonts w:eastAsia="Calibri"/>
          <w:sz w:val="24"/>
          <w:szCs w:val="24"/>
          <w:lang w:eastAsia="ar-SA"/>
        </w:rPr>
      </w:pPr>
      <w:r w:rsidRPr="009C2BAD">
        <w:rPr>
          <w:rFonts w:eastAsia="Calibri"/>
          <w:sz w:val="24"/>
          <w:szCs w:val="24"/>
          <w:lang w:eastAsia="ar-SA"/>
        </w:rPr>
        <w:t>Ожидаемое выполнение прогнозных показателей по разделу</w:t>
      </w:r>
    </w:p>
    <w:p w:rsidR="00D55ABA" w:rsidRDefault="00D55ABA" w:rsidP="00FC040F">
      <w:pPr>
        <w:spacing w:line="276" w:lineRule="auto"/>
        <w:ind w:firstLine="709"/>
        <w:jc w:val="center"/>
        <w:rPr>
          <w:rFonts w:eastAsia="Calibri"/>
          <w:sz w:val="24"/>
          <w:szCs w:val="24"/>
          <w:lang w:eastAsia="ar-SA"/>
        </w:rPr>
      </w:pPr>
      <w:r w:rsidRPr="009C2BAD">
        <w:rPr>
          <w:rFonts w:eastAsia="Calibri"/>
          <w:sz w:val="24"/>
          <w:szCs w:val="24"/>
          <w:lang w:eastAsia="ar-SA"/>
        </w:rPr>
        <w:t>«Жилищное строительство» на 2019 год</w:t>
      </w:r>
    </w:p>
    <w:p w:rsidR="00C03B05" w:rsidRPr="009C2BAD" w:rsidRDefault="00C03B05" w:rsidP="00D55ABA">
      <w:pPr>
        <w:spacing w:line="300" w:lineRule="auto"/>
        <w:ind w:firstLine="709"/>
        <w:jc w:val="center"/>
        <w:rPr>
          <w:rFonts w:eastAsia="Calibri"/>
          <w:sz w:val="24"/>
          <w:szCs w:val="24"/>
          <w:lang w:eastAsia="ar-SA"/>
        </w:rPr>
      </w:pPr>
    </w:p>
    <w:tbl>
      <w:tblPr>
        <w:tblW w:w="96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058"/>
        <w:gridCol w:w="1472"/>
        <w:gridCol w:w="1474"/>
        <w:gridCol w:w="1472"/>
        <w:gridCol w:w="1472"/>
      </w:tblGrid>
      <w:tr w:rsidR="00D55ABA" w:rsidRPr="009C2BAD" w:rsidTr="004A053C">
        <w:trPr>
          <w:cantSplit/>
          <w:trHeight w:val="22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ABA" w:rsidRPr="009C2BAD" w:rsidRDefault="00D55ABA" w:rsidP="00FC04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C2BAD">
              <w:rPr>
                <w:rFonts w:eastAsia="Calibri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ABA" w:rsidRPr="009C2BAD" w:rsidRDefault="00D55ABA" w:rsidP="00FC04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C2BAD">
              <w:rPr>
                <w:rFonts w:eastAsia="Calibri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4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ABA" w:rsidRPr="009C2BAD" w:rsidRDefault="00D55ABA" w:rsidP="00FC04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C2BAD">
              <w:rPr>
                <w:rFonts w:eastAsia="Calibri"/>
                <w:sz w:val="24"/>
                <w:szCs w:val="24"/>
                <w:lang w:eastAsia="ar-SA"/>
              </w:rPr>
              <w:t>Прогноз на 2019 год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BA" w:rsidRPr="009C2BAD" w:rsidRDefault="00D55ABA" w:rsidP="00FC04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C2BAD">
              <w:rPr>
                <w:rFonts w:eastAsia="Calibri"/>
                <w:sz w:val="24"/>
                <w:szCs w:val="24"/>
                <w:lang w:eastAsia="ar-SA"/>
              </w:rPr>
              <w:t>2019 год (оценка)</w:t>
            </w:r>
          </w:p>
        </w:tc>
      </w:tr>
      <w:tr w:rsidR="00D55ABA" w:rsidRPr="009C2BAD" w:rsidTr="005D0850">
        <w:trPr>
          <w:trHeight w:val="11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5ABA" w:rsidRPr="009C2BAD" w:rsidRDefault="00D55ABA" w:rsidP="00FC040F">
            <w:pPr>
              <w:snapToGrid w:val="0"/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55ABA" w:rsidRPr="009C2BAD" w:rsidRDefault="00D55ABA" w:rsidP="00FC040F">
            <w:pPr>
              <w:snapToGrid w:val="0"/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auto"/>
            </w:tcBorders>
          </w:tcPr>
          <w:p w:rsidR="00D55ABA" w:rsidRPr="009C2BAD" w:rsidRDefault="00D55ABA" w:rsidP="00FC04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C2BAD">
              <w:rPr>
                <w:rFonts w:eastAsia="Calibri"/>
                <w:sz w:val="24"/>
                <w:szCs w:val="24"/>
                <w:lang w:eastAsia="ar-SA"/>
              </w:rPr>
              <w:t>1 вариант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auto"/>
            </w:tcBorders>
          </w:tcPr>
          <w:p w:rsidR="00D55ABA" w:rsidRPr="009C2BAD" w:rsidRDefault="00D55ABA" w:rsidP="00FC040F">
            <w:pPr>
              <w:spacing w:line="276" w:lineRule="auto"/>
              <w:ind w:firstLine="218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C2BAD">
              <w:rPr>
                <w:rFonts w:eastAsia="Calibri"/>
                <w:sz w:val="24"/>
                <w:szCs w:val="24"/>
                <w:lang w:eastAsia="ar-SA"/>
              </w:rPr>
              <w:t>2 вариант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auto"/>
            </w:tcBorders>
          </w:tcPr>
          <w:p w:rsidR="00D55ABA" w:rsidRPr="00322656" w:rsidRDefault="00D55ABA" w:rsidP="00FC040F">
            <w:pPr>
              <w:snapToGri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 вариант</w:t>
            </w: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ABA" w:rsidRPr="009C2BAD" w:rsidRDefault="00D55ABA" w:rsidP="00FC040F">
            <w:pPr>
              <w:snapToGrid w:val="0"/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55ABA" w:rsidRPr="009C2BAD" w:rsidTr="005D0850">
        <w:trPr>
          <w:trHeight w:val="9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A" w:rsidRPr="009C2BAD" w:rsidRDefault="00D55ABA" w:rsidP="002B3D0F">
            <w:pPr>
              <w:spacing w:line="276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9C2BAD">
              <w:rPr>
                <w:rFonts w:eastAsia="Calibri"/>
                <w:sz w:val="24"/>
                <w:szCs w:val="24"/>
                <w:lang w:eastAsia="ar-SA"/>
              </w:rPr>
              <w:t>Ввод в действие жилых домов (квартир) за счет всех источников финансирования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A" w:rsidRPr="009C2BAD" w:rsidRDefault="00D55ABA" w:rsidP="002B3D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C2BAD">
              <w:rPr>
                <w:rFonts w:eastAsia="Calibri"/>
                <w:sz w:val="24"/>
                <w:szCs w:val="24"/>
                <w:lang w:eastAsia="ar-SA"/>
              </w:rPr>
              <w:t>тыс.кв. метров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BA" w:rsidRPr="009C2BAD" w:rsidRDefault="00D55ABA" w:rsidP="002B3D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C2BAD">
              <w:rPr>
                <w:rFonts w:eastAsia="Calibri"/>
                <w:sz w:val="24"/>
                <w:szCs w:val="24"/>
                <w:lang w:eastAsia="ar-SA"/>
              </w:rPr>
              <w:t>127,0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BA" w:rsidRPr="009C2BAD" w:rsidRDefault="00D55ABA" w:rsidP="002B3D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C2BAD">
              <w:rPr>
                <w:rFonts w:eastAsia="Calibri"/>
                <w:sz w:val="24"/>
                <w:szCs w:val="24"/>
                <w:lang w:eastAsia="ar-SA"/>
              </w:rPr>
              <w:t>144,4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BA" w:rsidRPr="00322656" w:rsidRDefault="00D55ABA" w:rsidP="002B3D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322656">
              <w:rPr>
                <w:rFonts w:eastAsia="Calibri"/>
                <w:sz w:val="24"/>
                <w:szCs w:val="24"/>
                <w:lang w:eastAsia="ar-SA"/>
              </w:rPr>
              <w:t>394,8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BA" w:rsidRPr="009C2BAD" w:rsidRDefault="00D55ABA" w:rsidP="002B3D0F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133,0</w:t>
            </w:r>
          </w:p>
        </w:tc>
      </w:tr>
    </w:tbl>
    <w:p w:rsidR="00D55ABA" w:rsidRPr="009C2BAD" w:rsidRDefault="00D55ABA" w:rsidP="00D55ABA">
      <w:pPr>
        <w:spacing w:line="300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</w:p>
    <w:p w:rsidR="00D55ABA" w:rsidRPr="0060322D" w:rsidRDefault="00D55ABA" w:rsidP="006032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t xml:space="preserve">На </w:t>
      </w:r>
      <w:r w:rsidR="00FC040F" w:rsidRPr="0060322D">
        <w:rPr>
          <w:rFonts w:eastAsia="Calibri"/>
          <w:sz w:val="24"/>
          <w:szCs w:val="24"/>
          <w:lang w:eastAsia="ar-SA"/>
        </w:rPr>
        <w:t xml:space="preserve">объемы </w:t>
      </w:r>
      <w:r w:rsidRPr="0060322D">
        <w:rPr>
          <w:rFonts w:eastAsia="Calibri"/>
          <w:sz w:val="24"/>
          <w:szCs w:val="24"/>
          <w:lang w:eastAsia="ar-SA"/>
        </w:rPr>
        <w:t>ввод</w:t>
      </w:r>
      <w:r w:rsidR="00FC040F" w:rsidRPr="0060322D">
        <w:rPr>
          <w:rFonts w:eastAsia="Calibri"/>
          <w:sz w:val="24"/>
          <w:szCs w:val="24"/>
          <w:lang w:eastAsia="ar-SA"/>
        </w:rPr>
        <w:t>а</w:t>
      </w:r>
      <w:r w:rsidRPr="0060322D">
        <w:rPr>
          <w:rFonts w:eastAsia="Calibri"/>
          <w:sz w:val="24"/>
          <w:szCs w:val="24"/>
          <w:lang w:eastAsia="ar-SA"/>
        </w:rPr>
        <w:t xml:space="preserve"> жилья по-прежнему продолжают оказывать влияние следующие негативные факторы:</w:t>
      </w:r>
    </w:p>
    <w:p w:rsidR="00D55ABA" w:rsidRPr="0060322D" w:rsidRDefault="00D55ABA" w:rsidP="006032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t xml:space="preserve">-  дефицит свободных финансовых средств у застройщиков; </w:t>
      </w:r>
    </w:p>
    <w:p w:rsidR="00D55ABA" w:rsidRPr="0060322D" w:rsidRDefault="00D55ABA" w:rsidP="006032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t>- отсутствие полного пакета документов о получении разрешения на строительство;</w:t>
      </w:r>
    </w:p>
    <w:p w:rsidR="00D55ABA" w:rsidRPr="0060322D" w:rsidRDefault="00D55ABA" w:rsidP="006032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t>-</w:t>
      </w:r>
      <w:r w:rsidR="00FC040F" w:rsidRPr="0060322D">
        <w:rPr>
          <w:rFonts w:eastAsia="Calibri"/>
          <w:sz w:val="24"/>
          <w:szCs w:val="24"/>
          <w:lang w:eastAsia="ar-SA"/>
        </w:rPr>
        <w:t xml:space="preserve"> </w:t>
      </w:r>
      <w:r w:rsidRPr="0060322D">
        <w:rPr>
          <w:rFonts w:eastAsia="Calibri"/>
          <w:sz w:val="24"/>
          <w:szCs w:val="24"/>
          <w:lang w:eastAsia="ar-SA"/>
        </w:rPr>
        <w:t>высокий уровень платы за подключение новых объектов строительства к инженерным сетям;</w:t>
      </w:r>
    </w:p>
    <w:p w:rsidR="00D55ABA" w:rsidRPr="0060322D" w:rsidRDefault="00D55ABA" w:rsidP="006032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t>-  сложная и длительная процедура выделения земельных участков под жилищное строительство.</w:t>
      </w:r>
    </w:p>
    <w:p w:rsidR="00D55ABA" w:rsidRPr="0060322D" w:rsidRDefault="00D55ABA" w:rsidP="006032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t xml:space="preserve">В целях достижения прогнозного значения осуществляется мониторинг объектов жилищного строительства и взаимодействие с </w:t>
      </w:r>
      <w:r w:rsidR="004A053C" w:rsidRPr="0060322D">
        <w:rPr>
          <w:rFonts w:eastAsia="Calibri"/>
          <w:sz w:val="24"/>
          <w:szCs w:val="24"/>
          <w:lang w:eastAsia="ar-SA"/>
        </w:rPr>
        <w:t>М</w:t>
      </w:r>
      <w:r w:rsidRPr="0060322D">
        <w:rPr>
          <w:rFonts w:eastAsia="Calibri"/>
          <w:sz w:val="24"/>
          <w:szCs w:val="24"/>
          <w:lang w:eastAsia="ar-SA"/>
        </w:rPr>
        <w:t>инистерством строительства Самарской области и Государственной инспекцией строительного надзора по проблемным объектам жилищного строительства.</w:t>
      </w:r>
    </w:p>
    <w:p w:rsidR="00D55ABA" w:rsidRPr="0060322D" w:rsidRDefault="00D55ABA" w:rsidP="006032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t xml:space="preserve">Мониторинг строительства объектов капитального строительства, в том числе, проблемных объектов долевого строительства на территории городского округа Тольятти осуществляется путем непосредственного взаимодействия с застройщиками, инициативными группами граждан, органами прокуратуры, государственной инспекцией строительного надзора Самарской области, </w:t>
      </w:r>
      <w:r w:rsidR="004A053C" w:rsidRPr="0060322D">
        <w:rPr>
          <w:rFonts w:eastAsia="Calibri"/>
          <w:sz w:val="24"/>
          <w:szCs w:val="24"/>
          <w:lang w:eastAsia="ar-SA"/>
        </w:rPr>
        <w:t>М</w:t>
      </w:r>
      <w:r w:rsidRPr="0060322D">
        <w:rPr>
          <w:rFonts w:eastAsia="Calibri"/>
          <w:sz w:val="24"/>
          <w:szCs w:val="24"/>
          <w:lang w:eastAsia="ar-SA"/>
        </w:rPr>
        <w:t>инистерством строительства Самарской области.</w:t>
      </w:r>
    </w:p>
    <w:p w:rsidR="006D7D34" w:rsidRPr="0060322D" w:rsidRDefault="006D7D34" w:rsidP="006032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t xml:space="preserve">В перечне проблемных объектов, для строительства которых привлекались денежные средства граждан, утвержденном </w:t>
      </w:r>
      <w:hyperlink r:id="rId9" w:history="1">
        <w:r w:rsidRPr="0060322D">
          <w:rPr>
            <w:rFonts w:eastAsia="Calibri"/>
            <w:sz w:val="24"/>
            <w:szCs w:val="24"/>
            <w:lang w:eastAsia="ar-SA"/>
          </w:rPr>
          <w:t xml:space="preserve">постановлением Правительства Самарской области от 13.07.2011 № 329 (ред. от 27.06.2019) </w:t>
        </w:r>
      </w:hyperlink>
      <w:r w:rsidRPr="0060322D">
        <w:rPr>
          <w:rFonts w:eastAsia="Calibri"/>
          <w:sz w:val="24"/>
          <w:szCs w:val="24"/>
          <w:lang w:eastAsia="ar-SA"/>
        </w:rPr>
        <w:t xml:space="preserve">на территории городского округа </w:t>
      </w:r>
      <w:r w:rsidR="00FC040F" w:rsidRPr="0060322D">
        <w:rPr>
          <w:rFonts w:eastAsia="Calibri"/>
          <w:sz w:val="24"/>
          <w:szCs w:val="24"/>
          <w:lang w:eastAsia="ar-SA"/>
        </w:rPr>
        <w:t xml:space="preserve">Тольятти </w:t>
      </w:r>
      <w:r w:rsidRPr="0060322D">
        <w:rPr>
          <w:rFonts w:eastAsia="Calibri"/>
          <w:sz w:val="24"/>
          <w:szCs w:val="24"/>
          <w:lang w:eastAsia="ar-SA"/>
        </w:rPr>
        <w:t>в настоящее время находится 8 проблемных объектов:</w:t>
      </w:r>
    </w:p>
    <w:p w:rsidR="006D7D34" w:rsidRPr="0060322D" w:rsidRDefault="006D7D34" w:rsidP="006032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t>- комплекс жилых домов переменной этажности (5-14 этажей), расположенный в Автозаводском районе, по ул.40 лет Победы, 5;</w:t>
      </w:r>
    </w:p>
    <w:p w:rsidR="006D7D34" w:rsidRPr="0060322D" w:rsidRDefault="006D7D34" w:rsidP="006032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t>- жилой комплекс, расположенный по адресу: г. Тольятти, ул. Баныкина, 5 очередь;</w:t>
      </w:r>
    </w:p>
    <w:p w:rsidR="006D7D34" w:rsidRPr="0060322D" w:rsidRDefault="006D7D34" w:rsidP="006032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t>- жилой дом, расположенный по ул. Коммунистической, 18А;</w:t>
      </w:r>
    </w:p>
    <w:p w:rsidR="006D7D34" w:rsidRPr="0060322D" w:rsidRDefault="006D7D34" w:rsidP="006032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t>- жилой дом, расположенный в Автозаводском районе, квартал 20, Южное шоссе, в юго-восточном торце жилого дома № 45;</w:t>
      </w:r>
    </w:p>
    <w:p w:rsidR="006D7D34" w:rsidRPr="0060322D" w:rsidRDefault="006D7D34" w:rsidP="006032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t>- многоквартирный многоэтажный жилой дом, расположенный в Центральном районе, мкр. 3 Северный;</w:t>
      </w:r>
    </w:p>
    <w:p w:rsidR="006D7D34" w:rsidRPr="0060322D" w:rsidRDefault="006D7D34" w:rsidP="006032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t xml:space="preserve">- 7-ми этажный жилой дом, расположенный в Центральном районе, ул. Ларина, 2;  </w:t>
      </w:r>
    </w:p>
    <w:p w:rsidR="006D7D34" w:rsidRPr="0060322D" w:rsidRDefault="006D7D34" w:rsidP="006032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lastRenderedPageBreak/>
        <w:t>- жилой дом, расположенный в Комсомольском районе, юго-восточнее пересечения ул. Коммунистической и ул. Матросова;</w:t>
      </w:r>
    </w:p>
    <w:p w:rsidR="006D7D34" w:rsidRPr="0060322D" w:rsidRDefault="006D7D34" w:rsidP="006032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t>- жилой дом, расположенный в Комсомольском районе, юго-западнее здания по ул. Коммунистическая, 12.</w:t>
      </w:r>
    </w:p>
    <w:p w:rsidR="006D7D34" w:rsidRPr="0060322D" w:rsidRDefault="006D7D34" w:rsidP="006032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t xml:space="preserve">Восстановление строительной отрасли города напрямую зависит от увеличения платежеспособности населения для приобретения жилья, повышения инвестиционного спроса на недвижимость, активности участия строительных компаний городского округа </w:t>
      </w:r>
      <w:r w:rsidR="00FC040F" w:rsidRPr="0060322D">
        <w:rPr>
          <w:rFonts w:eastAsia="Calibri"/>
          <w:sz w:val="24"/>
          <w:szCs w:val="24"/>
          <w:lang w:eastAsia="ar-SA"/>
        </w:rPr>
        <w:t xml:space="preserve">Тольятти </w:t>
      </w:r>
      <w:r w:rsidRPr="0060322D">
        <w:rPr>
          <w:rFonts w:eastAsia="Calibri"/>
          <w:sz w:val="24"/>
          <w:szCs w:val="24"/>
          <w:lang w:eastAsia="ar-SA"/>
        </w:rPr>
        <w:t>в федеральных и областных программах</w:t>
      </w:r>
      <w:r w:rsidR="00FC040F" w:rsidRPr="0060322D">
        <w:rPr>
          <w:rFonts w:eastAsia="Calibri"/>
          <w:sz w:val="24"/>
          <w:szCs w:val="24"/>
          <w:lang w:eastAsia="ar-SA"/>
        </w:rPr>
        <w:t>.</w:t>
      </w:r>
    </w:p>
    <w:p w:rsidR="00D55ABA" w:rsidRPr="0060322D" w:rsidRDefault="00D55ABA" w:rsidP="006032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t>На территории городского округа Тольятти реализуется государственная программа Самарской области «Развитие жилищного строительства в Самарской области» до 2020 года, План мероприятий («дорожная карта») «Улучшение инвестиционного климата в сфере строительства на территории Самарской области».</w:t>
      </w:r>
    </w:p>
    <w:p w:rsidR="00D55ABA" w:rsidRPr="0060322D" w:rsidRDefault="00D55ABA" w:rsidP="006032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t xml:space="preserve">Предоставление молодым семьям социальных выплат осуществляется в рамках реализации подпрограммы «Обеспечение жильем молодых семей» федеральной целевой программы «Жилище» на 2015-2020 годы, подпрограммы «Молодой семье – доступное жилье» до 2020 года государственной программы Самарской области «Развитие жилищного строительства в Самарской области» до 2020 года, утвержденной постановлением Правительства Самарской области от 27.11.2013 № 684, муниципальной программы городского округа Тольятти «Молодой семье – доступное жилье» на 2014-2020 годы.  </w:t>
      </w:r>
    </w:p>
    <w:p w:rsidR="00D55ABA" w:rsidRPr="0060322D" w:rsidRDefault="00D55ABA" w:rsidP="006032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t>Выполнение мероприятий подпрограммы обеспечивается софинансированием средств федерального бюджета, бюджета Самарской области и бюджета городского округа Тольятти.</w:t>
      </w:r>
    </w:p>
    <w:p w:rsidR="00D55ABA" w:rsidRPr="0060322D" w:rsidRDefault="00D55ABA" w:rsidP="006032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t>В бюджете городского округа Тольятти в 2019 году на предоставление социальных выплат на улучшение жилищных условий молодых семей предусмотрены средства в размере 3</w:t>
      </w:r>
      <w:r w:rsidR="00C03B05" w:rsidRPr="0060322D">
        <w:rPr>
          <w:rFonts w:eastAsia="Calibri"/>
          <w:sz w:val="24"/>
          <w:szCs w:val="24"/>
          <w:lang w:eastAsia="ar-SA"/>
        </w:rPr>
        <w:t>0 000</w:t>
      </w:r>
      <w:r w:rsidRPr="0060322D">
        <w:rPr>
          <w:rFonts w:eastAsia="Calibri"/>
          <w:sz w:val="24"/>
          <w:szCs w:val="24"/>
          <w:lang w:eastAsia="ar-SA"/>
        </w:rPr>
        <w:t>,0 тыс. руб</w:t>
      </w:r>
      <w:r w:rsidR="00FC040F" w:rsidRPr="0060322D">
        <w:rPr>
          <w:rFonts w:eastAsia="Calibri"/>
          <w:sz w:val="24"/>
          <w:szCs w:val="24"/>
          <w:lang w:eastAsia="ar-SA"/>
        </w:rPr>
        <w:t>лей</w:t>
      </w:r>
      <w:r w:rsidRPr="0060322D">
        <w:rPr>
          <w:rFonts w:eastAsia="Calibri"/>
          <w:sz w:val="24"/>
          <w:szCs w:val="24"/>
          <w:lang w:eastAsia="ar-SA"/>
        </w:rPr>
        <w:t xml:space="preserve">. </w:t>
      </w:r>
    </w:p>
    <w:p w:rsidR="00D55ABA" w:rsidRPr="0060322D" w:rsidRDefault="00C03B05" w:rsidP="0060322D">
      <w:pPr>
        <w:pStyle w:val="aff0"/>
        <w:spacing w:line="276" w:lineRule="auto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t xml:space="preserve">В 2019 году в число получателей социальной выплаты из списка молодых семей – претендентов, утвержденного Губернатором Самарской области, вошли 96 молодых семьи городского округа. </w:t>
      </w:r>
      <w:r w:rsidR="00D55ABA" w:rsidRPr="0060322D">
        <w:rPr>
          <w:rFonts w:eastAsia="Calibri"/>
          <w:sz w:val="24"/>
          <w:szCs w:val="24"/>
          <w:lang w:eastAsia="ar-SA"/>
        </w:rPr>
        <w:t xml:space="preserve">На 01.07.2019 свидетельства о праве на получение социальной выплаты получили </w:t>
      </w:r>
      <w:r w:rsidRPr="0060322D">
        <w:rPr>
          <w:rFonts w:eastAsia="Calibri"/>
          <w:sz w:val="24"/>
          <w:szCs w:val="24"/>
          <w:lang w:eastAsia="ar-SA"/>
        </w:rPr>
        <w:t>96</w:t>
      </w:r>
      <w:r w:rsidR="00D55ABA" w:rsidRPr="0060322D">
        <w:rPr>
          <w:rFonts w:eastAsia="Calibri"/>
          <w:sz w:val="24"/>
          <w:szCs w:val="24"/>
          <w:lang w:eastAsia="ar-SA"/>
        </w:rPr>
        <w:t xml:space="preserve"> молодых семей</w:t>
      </w:r>
      <w:r w:rsidRPr="0060322D">
        <w:rPr>
          <w:rFonts w:eastAsia="Calibri"/>
          <w:sz w:val="24"/>
          <w:szCs w:val="24"/>
          <w:lang w:eastAsia="ar-SA"/>
        </w:rPr>
        <w:t>.</w:t>
      </w:r>
    </w:p>
    <w:p w:rsidR="00D55ABA" w:rsidRPr="0060322D" w:rsidRDefault="00D55ABA" w:rsidP="006032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t>В отчетном периоде был утвержден норматив стоимости 1 квадратного метра общей площади жилого помещения по городскому округу Тольятти на 1 и 2 кварталы 2019 года для расчета размеров социальных выплат молодым семьям</w:t>
      </w:r>
      <w:r w:rsidR="00CC1BCB" w:rsidRPr="0060322D">
        <w:rPr>
          <w:rFonts w:eastAsia="Calibri"/>
          <w:sz w:val="24"/>
          <w:szCs w:val="24"/>
          <w:lang w:eastAsia="ar-SA"/>
        </w:rPr>
        <w:t xml:space="preserve"> </w:t>
      </w:r>
      <w:r w:rsidR="006D7D34" w:rsidRPr="0060322D">
        <w:rPr>
          <w:rFonts w:eastAsia="Calibri"/>
          <w:sz w:val="24"/>
          <w:szCs w:val="24"/>
          <w:lang w:eastAsia="ar-SA"/>
        </w:rPr>
        <w:t>в размере 36</w:t>
      </w:r>
      <w:r w:rsidR="00FC040F" w:rsidRPr="0060322D">
        <w:rPr>
          <w:rFonts w:eastAsia="Calibri"/>
          <w:sz w:val="24"/>
          <w:szCs w:val="24"/>
          <w:lang w:eastAsia="ar-SA"/>
        </w:rPr>
        <w:t xml:space="preserve"> </w:t>
      </w:r>
      <w:r w:rsidR="006D7D34" w:rsidRPr="0060322D">
        <w:rPr>
          <w:rFonts w:eastAsia="Calibri"/>
          <w:sz w:val="24"/>
          <w:szCs w:val="24"/>
          <w:lang w:eastAsia="ar-SA"/>
        </w:rPr>
        <w:t>674 руб</w:t>
      </w:r>
      <w:r w:rsidR="00FC040F" w:rsidRPr="0060322D">
        <w:rPr>
          <w:rFonts w:eastAsia="Calibri"/>
          <w:sz w:val="24"/>
          <w:szCs w:val="24"/>
          <w:lang w:eastAsia="ar-SA"/>
        </w:rPr>
        <w:t>лей</w:t>
      </w:r>
      <w:r w:rsidR="006D7D34" w:rsidRPr="0060322D">
        <w:rPr>
          <w:rFonts w:eastAsia="Calibri"/>
          <w:sz w:val="24"/>
          <w:szCs w:val="24"/>
          <w:lang w:eastAsia="ar-SA"/>
        </w:rPr>
        <w:t>.</w:t>
      </w:r>
      <w:r w:rsidRPr="0060322D">
        <w:rPr>
          <w:rFonts w:eastAsia="Calibri"/>
          <w:sz w:val="24"/>
          <w:szCs w:val="24"/>
          <w:lang w:eastAsia="ar-SA"/>
        </w:rPr>
        <w:t xml:space="preserve"> </w:t>
      </w:r>
    </w:p>
    <w:p w:rsidR="00C03B05" w:rsidRPr="0060322D" w:rsidRDefault="00C03B05" w:rsidP="006032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t>По состоянию на 01.07.2019 на учете для обеспечения жилыми помещениями за счет средств федерального и областного бюджетов состоят 617 получателей из числа льготных категорий граждан в соответствии с действующим законодательством Российской Федерации.</w:t>
      </w:r>
    </w:p>
    <w:p w:rsidR="00C03B05" w:rsidRPr="0060322D" w:rsidRDefault="00C03B05" w:rsidP="0060322D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0322D">
        <w:rPr>
          <w:rFonts w:eastAsia="Calibri"/>
          <w:sz w:val="24"/>
          <w:szCs w:val="24"/>
          <w:lang w:eastAsia="ar-SA"/>
        </w:rPr>
        <w:t>В 1 полугодии 2019 года перечислены субвенции в размере 15 173,6 тыс. руб</w:t>
      </w:r>
      <w:r w:rsidR="00FC040F" w:rsidRPr="0060322D">
        <w:rPr>
          <w:rFonts w:eastAsia="Calibri"/>
          <w:sz w:val="24"/>
          <w:szCs w:val="24"/>
          <w:lang w:eastAsia="ar-SA"/>
        </w:rPr>
        <w:t>лей</w:t>
      </w:r>
      <w:r w:rsidRPr="0060322D">
        <w:rPr>
          <w:rFonts w:eastAsia="Calibri"/>
          <w:sz w:val="24"/>
          <w:szCs w:val="24"/>
          <w:lang w:eastAsia="ar-SA"/>
        </w:rPr>
        <w:t xml:space="preserve"> на предоставление 13 социальных выплат, выдано 13 государственных жилищных сертификата, приобретено 45 квартир для обеспечения жилыми помещениями муниципального жилищного фонда по договорам социального найма.</w:t>
      </w:r>
    </w:p>
    <w:p w:rsidR="00D55ABA" w:rsidRPr="00C03B05" w:rsidRDefault="00D55ABA" w:rsidP="00FC52D0">
      <w:pPr>
        <w:spacing w:line="276" w:lineRule="auto"/>
        <w:ind w:firstLine="709"/>
        <w:jc w:val="both"/>
        <w:rPr>
          <w:sz w:val="24"/>
          <w:szCs w:val="24"/>
          <w:highlight w:val="yellow"/>
        </w:rPr>
      </w:pPr>
    </w:p>
    <w:p w:rsidR="009F67BD" w:rsidRPr="00FB51D0" w:rsidRDefault="009F67BD" w:rsidP="009F67BD">
      <w:pPr>
        <w:pStyle w:val="aff0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FB51D0">
        <w:rPr>
          <w:b/>
          <w:bCs/>
          <w:sz w:val="24"/>
          <w:szCs w:val="24"/>
        </w:rPr>
        <w:t xml:space="preserve">Финансы </w:t>
      </w:r>
      <w:bookmarkStart w:id="4" w:name="фин"/>
      <w:bookmarkEnd w:id="4"/>
    </w:p>
    <w:p w:rsidR="009F67BD" w:rsidRDefault="009F67BD" w:rsidP="009F67BD">
      <w:pPr>
        <w:pStyle w:val="aff0"/>
        <w:spacing w:line="276" w:lineRule="auto"/>
        <w:jc w:val="center"/>
        <w:rPr>
          <w:b/>
          <w:bCs/>
          <w:sz w:val="24"/>
          <w:szCs w:val="24"/>
          <w:highlight w:val="yellow"/>
        </w:rPr>
      </w:pP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>Согласно статистическим данным</w:t>
      </w:r>
      <w:r>
        <w:rPr>
          <w:rStyle w:val="affb"/>
          <w:sz w:val="24"/>
        </w:rPr>
        <w:footnoteReference w:id="2"/>
      </w:r>
      <w:r>
        <w:rPr>
          <w:sz w:val="24"/>
        </w:rPr>
        <w:t xml:space="preserve"> в </w:t>
      </w:r>
      <w:r w:rsidRPr="00371475">
        <w:rPr>
          <w:i/>
          <w:sz w:val="24"/>
        </w:rPr>
        <w:t>финансовой сфере организаций</w:t>
      </w:r>
      <w:r>
        <w:rPr>
          <w:sz w:val="24"/>
        </w:rPr>
        <w:t xml:space="preserve"> городского округа Тольятти, не относящихся к субъектам малого предпринимательства (далее по разделу – организации) о</w:t>
      </w:r>
      <w:r w:rsidRPr="00D66621">
        <w:rPr>
          <w:sz w:val="24"/>
        </w:rPr>
        <w:t>бъем прибыли до налогообложения (по РСБУ)</w:t>
      </w:r>
      <w:r>
        <w:rPr>
          <w:i/>
          <w:sz w:val="24"/>
        </w:rPr>
        <w:t xml:space="preserve"> </w:t>
      </w:r>
      <w:r>
        <w:rPr>
          <w:sz w:val="24"/>
        </w:rPr>
        <w:t xml:space="preserve">(далее по разделу – прибыль организаций) на </w:t>
      </w:r>
      <w:r w:rsidRPr="00D66621">
        <w:rPr>
          <w:sz w:val="24"/>
        </w:rPr>
        <w:t>01.07.</w:t>
      </w:r>
      <w:r>
        <w:rPr>
          <w:sz w:val="24"/>
        </w:rPr>
        <w:t xml:space="preserve">2019 составил 20 677, 5 млн. рублей, что на 29,4% больше, чем в соответствующем периоде прошлого года. 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D66621">
        <w:rPr>
          <w:sz w:val="24"/>
          <w:szCs w:val="24"/>
          <w:lang w:eastAsia="ar-SA"/>
        </w:rPr>
        <w:t>Основной объем прибыли (</w:t>
      </w:r>
      <w:r>
        <w:rPr>
          <w:sz w:val="24"/>
          <w:szCs w:val="24"/>
          <w:lang w:eastAsia="ar-SA"/>
        </w:rPr>
        <w:t>69,6</w:t>
      </w:r>
      <w:r w:rsidRPr="00D66621">
        <w:rPr>
          <w:sz w:val="24"/>
          <w:szCs w:val="24"/>
          <w:lang w:eastAsia="ar-SA"/>
        </w:rPr>
        <w:t>%</w:t>
      </w:r>
      <w:r>
        <w:rPr>
          <w:sz w:val="24"/>
          <w:szCs w:val="24"/>
          <w:lang w:eastAsia="ar-SA"/>
        </w:rPr>
        <w:t xml:space="preserve"> от общего объема прибыли</w:t>
      </w:r>
      <w:r w:rsidRPr="00D66621">
        <w:rPr>
          <w:sz w:val="24"/>
          <w:szCs w:val="24"/>
          <w:lang w:eastAsia="ar-SA"/>
        </w:rPr>
        <w:t xml:space="preserve">) получен </w:t>
      </w:r>
      <w:r>
        <w:rPr>
          <w:sz w:val="24"/>
          <w:szCs w:val="24"/>
          <w:lang w:eastAsia="ar-SA"/>
        </w:rPr>
        <w:t>в</w:t>
      </w:r>
      <w:r w:rsidRPr="00D66621">
        <w:rPr>
          <w:sz w:val="24"/>
          <w:szCs w:val="24"/>
          <w:lang w:eastAsia="ar-SA"/>
        </w:rPr>
        <w:t xml:space="preserve"> производств</w:t>
      </w:r>
      <w:r>
        <w:rPr>
          <w:sz w:val="24"/>
          <w:szCs w:val="24"/>
          <w:lang w:eastAsia="ar-SA"/>
        </w:rPr>
        <w:t>е</w:t>
      </w:r>
      <w:r w:rsidRPr="00D66621">
        <w:rPr>
          <w:sz w:val="24"/>
          <w:szCs w:val="24"/>
          <w:lang w:eastAsia="ar-SA"/>
        </w:rPr>
        <w:t xml:space="preserve"> химических веществ и химических продуктов – </w:t>
      </w:r>
      <w:r>
        <w:rPr>
          <w:sz w:val="24"/>
          <w:szCs w:val="24"/>
          <w:lang w:eastAsia="ar-SA"/>
        </w:rPr>
        <w:t>11 252,2</w:t>
      </w:r>
      <w:r w:rsidRPr="00D66621">
        <w:rPr>
          <w:color w:val="FF0000"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млн. рублей</w:t>
      </w:r>
      <w:r w:rsidRPr="00D66621">
        <w:rPr>
          <w:sz w:val="24"/>
          <w:szCs w:val="24"/>
          <w:lang w:eastAsia="ar-SA"/>
        </w:rPr>
        <w:t xml:space="preserve"> (</w:t>
      </w:r>
      <w:r>
        <w:rPr>
          <w:sz w:val="24"/>
          <w:szCs w:val="24"/>
          <w:lang w:eastAsia="ar-SA"/>
        </w:rPr>
        <w:t>рост</w:t>
      </w:r>
      <w:r w:rsidRPr="00D66621">
        <w:rPr>
          <w:sz w:val="24"/>
          <w:szCs w:val="24"/>
          <w:lang w:eastAsia="ar-SA"/>
        </w:rPr>
        <w:t xml:space="preserve"> на </w:t>
      </w:r>
      <w:r>
        <w:rPr>
          <w:sz w:val="24"/>
          <w:szCs w:val="24"/>
          <w:lang w:eastAsia="ar-SA"/>
        </w:rPr>
        <w:t>26,3</w:t>
      </w:r>
      <w:r w:rsidRPr="00D66621">
        <w:rPr>
          <w:sz w:val="24"/>
          <w:szCs w:val="24"/>
          <w:lang w:eastAsia="ar-SA"/>
        </w:rPr>
        <w:t>% от уровня января-июня 201</w:t>
      </w:r>
      <w:r>
        <w:rPr>
          <w:sz w:val="24"/>
          <w:szCs w:val="24"/>
          <w:lang w:eastAsia="ar-SA"/>
        </w:rPr>
        <w:t xml:space="preserve">8 года) и в производстве автотранспортных средств (27,7% от общего объёма прибыли) – 4 736,4 млн. рублей (рост на 68,4% к уровню января-июня 2019 года). </w:t>
      </w:r>
      <w:r w:rsidRPr="00D66621">
        <w:rPr>
          <w:sz w:val="24"/>
          <w:szCs w:val="24"/>
          <w:lang w:eastAsia="ar-SA"/>
        </w:rPr>
        <w:t xml:space="preserve">Во </w:t>
      </w:r>
      <w:r w:rsidRPr="00115D41">
        <w:rPr>
          <w:sz w:val="24"/>
          <w:szCs w:val="24"/>
          <w:lang w:eastAsia="ar-SA"/>
        </w:rPr>
        <w:t>втором квартале текущего</w:t>
      </w:r>
      <w:r w:rsidRPr="00D66621">
        <w:rPr>
          <w:sz w:val="24"/>
          <w:szCs w:val="24"/>
          <w:lang w:eastAsia="ar-SA"/>
        </w:rPr>
        <w:t xml:space="preserve"> года </w:t>
      </w:r>
      <w:r>
        <w:rPr>
          <w:sz w:val="24"/>
          <w:szCs w:val="24"/>
          <w:lang w:eastAsia="ar-SA"/>
        </w:rPr>
        <w:t>рост</w:t>
      </w:r>
      <w:r w:rsidRPr="00D66621">
        <w:rPr>
          <w:sz w:val="24"/>
          <w:szCs w:val="24"/>
          <w:lang w:eastAsia="ar-SA"/>
        </w:rPr>
        <w:t xml:space="preserve"> прибыли замедлил</w:t>
      </w:r>
      <w:r>
        <w:rPr>
          <w:sz w:val="24"/>
          <w:szCs w:val="24"/>
          <w:lang w:eastAsia="ar-SA"/>
        </w:rPr>
        <w:t>ся, и её объем</w:t>
      </w:r>
      <w:r w:rsidRPr="00D66621">
        <w:rPr>
          <w:sz w:val="24"/>
          <w:szCs w:val="24"/>
          <w:lang w:eastAsia="ar-SA"/>
        </w:rPr>
        <w:t xml:space="preserve"> по сравнению с первым кварталом </w:t>
      </w:r>
      <w:r>
        <w:rPr>
          <w:sz w:val="24"/>
          <w:szCs w:val="24"/>
          <w:lang w:eastAsia="ar-SA"/>
        </w:rPr>
        <w:t xml:space="preserve">снизился на 1 689,5 млн. рублей. </w:t>
      </w:r>
      <w:r w:rsidRPr="00D66621">
        <w:rPr>
          <w:sz w:val="24"/>
          <w:szCs w:val="24"/>
          <w:lang w:eastAsia="ar-SA"/>
        </w:rPr>
        <w:t xml:space="preserve"> 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 этом в химическом производстве по месяцам текущего года наблюдается поступательное снижение объемов прибыли: январь – 3 325,0 млн. рублей, февраль – 2 177,0 млн. рублей, март – 1 968,7 млн. рублей, апрель – 1 856,1 млн. рублей, май – 1 222,3 млн. рублей, июнь – 703,0 млн. рублей.</w:t>
      </w:r>
    </w:p>
    <w:p w:rsidR="00211E4E" w:rsidRPr="00D66621" w:rsidRDefault="00211E4E" w:rsidP="00211E4E">
      <w:pPr>
        <w:widowControl w:val="0"/>
        <w:spacing w:line="276" w:lineRule="auto"/>
        <w:ind w:firstLine="708"/>
        <w:jc w:val="both"/>
        <w:rPr>
          <w:sz w:val="24"/>
          <w:szCs w:val="24"/>
          <w:lang w:eastAsia="ar-SA"/>
        </w:rPr>
      </w:pPr>
      <w:r w:rsidRPr="00D66621">
        <w:rPr>
          <w:sz w:val="24"/>
          <w:szCs w:val="24"/>
          <w:lang w:eastAsia="ar-SA"/>
        </w:rPr>
        <w:t xml:space="preserve">По данным бухгалтерской отчетности </w:t>
      </w:r>
      <w:r>
        <w:rPr>
          <w:sz w:val="24"/>
          <w:szCs w:val="24"/>
          <w:lang w:eastAsia="ar-SA"/>
        </w:rPr>
        <w:t xml:space="preserve">крупнейших химических предприятий </w:t>
      </w:r>
      <w:r w:rsidRPr="00D66621">
        <w:rPr>
          <w:sz w:val="24"/>
          <w:szCs w:val="24"/>
          <w:lang w:eastAsia="ar-SA"/>
        </w:rPr>
        <w:t>на 01.07.201</w:t>
      </w:r>
      <w:r>
        <w:rPr>
          <w:sz w:val="24"/>
          <w:szCs w:val="24"/>
          <w:lang w:eastAsia="ar-SA"/>
        </w:rPr>
        <w:t>9</w:t>
      </w:r>
      <w:r w:rsidRPr="00D66621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 xml:space="preserve">размещенной в открытых источниках в сети Интернет, </w:t>
      </w:r>
      <w:r w:rsidRPr="00D66621">
        <w:rPr>
          <w:sz w:val="24"/>
          <w:szCs w:val="24"/>
          <w:lang w:eastAsia="ar-SA"/>
        </w:rPr>
        <w:t xml:space="preserve">основные финансовые показатели (по РСБУ) </w:t>
      </w:r>
      <w:r>
        <w:rPr>
          <w:sz w:val="24"/>
          <w:szCs w:val="24"/>
          <w:lang w:eastAsia="ar-SA"/>
        </w:rPr>
        <w:t xml:space="preserve">за 1 полугодие 2019 года в сравнении с 1 полугодием 2018 года </w:t>
      </w:r>
      <w:r w:rsidRPr="00D66621">
        <w:rPr>
          <w:sz w:val="24"/>
          <w:szCs w:val="24"/>
          <w:lang w:eastAsia="ar-SA"/>
        </w:rPr>
        <w:t xml:space="preserve">составили: </w:t>
      </w:r>
    </w:p>
    <w:p w:rsidR="00211E4E" w:rsidRPr="00D66621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D66621">
        <w:rPr>
          <w:sz w:val="24"/>
          <w:szCs w:val="24"/>
          <w:lang w:eastAsia="ar-SA"/>
        </w:rPr>
        <w:t>- ПАО «Куйбышевазот»</w:t>
      </w:r>
      <w:r>
        <w:rPr>
          <w:rStyle w:val="affb"/>
          <w:sz w:val="24"/>
          <w:szCs w:val="24"/>
        </w:rPr>
        <w:footnoteReference w:id="3"/>
      </w:r>
      <w:r w:rsidRPr="00D66621">
        <w:rPr>
          <w:sz w:val="24"/>
          <w:szCs w:val="24"/>
          <w:lang w:eastAsia="ar-SA"/>
        </w:rPr>
        <w:t>: выручка – 28</w:t>
      </w:r>
      <w:r>
        <w:rPr>
          <w:sz w:val="24"/>
          <w:szCs w:val="24"/>
          <w:lang w:eastAsia="ar-SA"/>
        </w:rPr>
        <w:t xml:space="preserve"> 317,5 </w:t>
      </w:r>
      <w:r w:rsidRPr="00D66621">
        <w:rPr>
          <w:sz w:val="24"/>
          <w:szCs w:val="24"/>
          <w:lang w:eastAsia="ar-SA"/>
        </w:rPr>
        <w:t>млн. руб</w:t>
      </w:r>
      <w:r>
        <w:rPr>
          <w:sz w:val="24"/>
          <w:szCs w:val="24"/>
          <w:lang w:eastAsia="ar-SA"/>
        </w:rPr>
        <w:t>лей</w:t>
      </w:r>
      <w:r w:rsidRPr="00D66621">
        <w:rPr>
          <w:sz w:val="24"/>
          <w:szCs w:val="24"/>
          <w:lang w:eastAsia="ar-SA"/>
        </w:rPr>
        <w:t xml:space="preserve"> (</w:t>
      </w:r>
      <w:r>
        <w:rPr>
          <w:sz w:val="24"/>
          <w:szCs w:val="24"/>
          <w:lang w:eastAsia="ar-SA"/>
        </w:rPr>
        <w:t>-127,8</w:t>
      </w:r>
      <w:r w:rsidRPr="00D66621">
        <w:rPr>
          <w:sz w:val="24"/>
          <w:szCs w:val="24"/>
          <w:lang w:eastAsia="ar-SA"/>
        </w:rPr>
        <w:t xml:space="preserve"> млн. руб</w:t>
      </w:r>
      <w:r>
        <w:rPr>
          <w:sz w:val="24"/>
          <w:szCs w:val="24"/>
          <w:lang w:eastAsia="ar-SA"/>
        </w:rPr>
        <w:t>лей</w:t>
      </w:r>
      <w:r w:rsidRPr="00D66621">
        <w:rPr>
          <w:sz w:val="24"/>
          <w:szCs w:val="24"/>
          <w:lang w:eastAsia="ar-SA"/>
        </w:rPr>
        <w:t>), себестоимость – 2</w:t>
      </w:r>
      <w:r>
        <w:rPr>
          <w:sz w:val="24"/>
          <w:szCs w:val="24"/>
          <w:lang w:eastAsia="ar-SA"/>
        </w:rPr>
        <w:t xml:space="preserve">1 924,6 млн. рублей </w:t>
      </w:r>
      <w:r w:rsidRPr="00D66621">
        <w:rPr>
          <w:sz w:val="24"/>
          <w:szCs w:val="24"/>
          <w:lang w:eastAsia="ar-SA"/>
        </w:rPr>
        <w:t>(+</w:t>
      </w:r>
      <w:r>
        <w:rPr>
          <w:sz w:val="24"/>
          <w:szCs w:val="24"/>
          <w:lang w:eastAsia="ar-SA"/>
        </w:rPr>
        <w:t>585,4</w:t>
      </w:r>
      <w:r w:rsidRPr="00D66621">
        <w:rPr>
          <w:sz w:val="24"/>
          <w:szCs w:val="24"/>
          <w:lang w:eastAsia="ar-SA"/>
        </w:rPr>
        <w:t xml:space="preserve"> млн. руб</w:t>
      </w:r>
      <w:r>
        <w:rPr>
          <w:sz w:val="24"/>
          <w:szCs w:val="24"/>
          <w:lang w:eastAsia="ar-SA"/>
        </w:rPr>
        <w:t>лей</w:t>
      </w:r>
      <w:r w:rsidRPr="00D66621">
        <w:rPr>
          <w:sz w:val="24"/>
          <w:szCs w:val="24"/>
          <w:lang w:eastAsia="ar-SA"/>
        </w:rPr>
        <w:t xml:space="preserve">), прибыль до налогообложения – </w:t>
      </w:r>
      <w:r>
        <w:rPr>
          <w:sz w:val="24"/>
          <w:szCs w:val="24"/>
          <w:lang w:eastAsia="ar-SA"/>
        </w:rPr>
        <w:t>3 398,5</w:t>
      </w:r>
      <w:r w:rsidRPr="00D66621">
        <w:rPr>
          <w:sz w:val="24"/>
          <w:szCs w:val="24"/>
          <w:lang w:eastAsia="ar-SA"/>
        </w:rPr>
        <w:t> млн. руб</w:t>
      </w:r>
      <w:r>
        <w:rPr>
          <w:sz w:val="24"/>
          <w:szCs w:val="24"/>
          <w:lang w:eastAsia="ar-SA"/>
        </w:rPr>
        <w:t>лей</w:t>
      </w:r>
      <w:r w:rsidRPr="00D66621">
        <w:rPr>
          <w:sz w:val="24"/>
          <w:szCs w:val="24"/>
          <w:lang w:eastAsia="ar-SA"/>
        </w:rPr>
        <w:t xml:space="preserve"> (</w:t>
      </w:r>
      <w:r>
        <w:rPr>
          <w:sz w:val="24"/>
          <w:szCs w:val="24"/>
          <w:lang w:eastAsia="ar-SA"/>
        </w:rPr>
        <w:t>-724,7</w:t>
      </w:r>
      <w:r w:rsidRPr="00D66621">
        <w:rPr>
          <w:sz w:val="24"/>
          <w:szCs w:val="24"/>
          <w:lang w:eastAsia="ar-SA"/>
        </w:rPr>
        <w:t xml:space="preserve"> млн. руб</w:t>
      </w:r>
      <w:r>
        <w:rPr>
          <w:sz w:val="24"/>
          <w:szCs w:val="24"/>
          <w:lang w:eastAsia="ar-SA"/>
        </w:rPr>
        <w:t>лей</w:t>
      </w:r>
      <w:r w:rsidRPr="00D66621">
        <w:rPr>
          <w:sz w:val="24"/>
          <w:szCs w:val="24"/>
          <w:lang w:eastAsia="ar-SA"/>
        </w:rPr>
        <w:t>);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D66621">
        <w:rPr>
          <w:sz w:val="24"/>
          <w:szCs w:val="24"/>
          <w:lang w:eastAsia="ar-SA"/>
        </w:rPr>
        <w:t>- ЗАО «Корпорация «Тольяттиазот»</w:t>
      </w:r>
      <w:r>
        <w:rPr>
          <w:rStyle w:val="affb"/>
          <w:sz w:val="24"/>
          <w:szCs w:val="24"/>
        </w:rPr>
        <w:footnoteReference w:id="4"/>
      </w:r>
      <w:r w:rsidRPr="00D66621">
        <w:rPr>
          <w:sz w:val="24"/>
          <w:szCs w:val="24"/>
          <w:lang w:eastAsia="ar-SA"/>
        </w:rPr>
        <w:t xml:space="preserve">: выручка – </w:t>
      </w:r>
      <w:r>
        <w:rPr>
          <w:sz w:val="24"/>
          <w:szCs w:val="24"/>
          <w:lang w:eastAsia="ar-SA"/>
        </w:rPr>
        <w:t>29 173,0</w:t>
      </w:r>
      <w:r w:rsidRPr="00D66621">
        <w:rPr>
          <w:sz w:val="24"/>
          <w:szCs w:val="24"/>
          <w:lang w:eastAsia="ar-SA"/>
        </w:rPr>
        <w:t xml:space="preserve"> млн. руб</w:t>
      </w:r>
      <w:r>
        <w:rPr>
          <w:sz w:val="24"/>
          <w:szCs w:val="24"/>
          <w:lang w:eastAsia="ar-SA"/>
        </w:rPr>
        <w:t>лей</w:t>
      </w:r>
      <w:r w:rsidRPr="00D66621">
        <w:rPr>
          <w:sz w:val="24"/>
          <w:szCs w:val="24"/>
          <w:lang w:eastAsia="ar-SA"/>
        </w:rPr>
        <w:t xml:space="preserve"> (+</w:t>
      </w:r>
      <w:r>
        <w:rPr>
          <w:sz w:val="24"/>
          <w:szCs w:val="24"/>
          <w:lang w:eastAsia="ar-SA"/>
        </w:rPr>
        <w:t>3 945,2</w:t>
      </w:r>
      <w:r w:rsidRPr="00D66621">
        <w:rPr>
          <w:sz w:val="24"/>
          <w:szCs w:val="24"/>
          <w:lang w:eastAsia="ar-SA"/>
        </w:rPr>
        <w:t> млн. руб</w:t>
      </w:r>
      <w:r>
        <w:rPr>
          <w:sz w:val="24"/>
          <w:szCs w:val="24"/>
          <w:lang w:eastAsia="ar-SA"/>
        </w:rPr>
        <w:t>лей</w:t>
      </w:r>
      <w:r w:rsidRPr="00D66621">
        <w:rPr>
          <w:sz w:val="24"/>
          <w:szCs w:val="24"/>
          <w:lang w:eastAsia="ar-SA"/>
        </w:rPr>
        <w:t xml:space="preserve">), себестоимость – </w:t>
      </w:r>
      <w:r>
        <w:rPr>
          <w:sz w:val="24"/>
          <w:szCs w:val="24"/>
          <w:lang w:eastAsia="ar-SA"/>
        </w:rPr>
        <w:t>12 588,1 млн. рублей</w:t>
      </w:r>
      <w:r w:rsidRPr="00D66621">
        <w:rPr>
          <w:sz w:val="24"/>
          <w:szCs w:val="24"/>
          <w:lang w:eastAsia="ar-SA"/>
        </w:rPr>
        <w:t xml:space="preserve"> (+</w:t>
      </w:r>
      <w:r>
        <w:rPr>
          <w:sz w:val="24"/>
          <w:szCs w:val="24"/>
          <w:lang w:eastAsia="ar-SA"/>
        </w:rPr>
        <w:t>929,1</w:t>
      </w:r>
      <w:r w:rsidRPr="00D66621">
        <w:rPr>
          <w:sz w:val="24"/>
          <w:szCs w:val="24"/>
          <w:lang w:eastAsia="ar-SA"/>
        </w:rPr>
        <w:t xml:space="preserve"> млн. руб</w:t>
      </w:r>
      <w:r>
        <w:rPr>
          <w:sz w:val="24"/>
          <w:szCs w:val="24"/>
          <w:lang w:eastAsia="ar-SA"/>
        </w:rPr>
        <w:t>лей</w:t>
      </w:r>
      <w:r w:rsidRPr="00D66621">
        <w:rPr>
          <w:sz w:val="24"/>
          <w:szCs w:val="24"/>
          <w:lang w:eastAsia="ar-SA"/>
        </w:rPr>
        <w:t xml:space="preserve">), прибыль до налогообложения – </w:t>
      </w:r>
      <w:r>
        <w:rPr>
          <w:sz w:val="24"/>
          <w:szCs w:val="24"/>
          <w:lang w:eastAsia="ar-SA"/>
        </w:rPr>
        <w:t>4 693,1</w:t>
      </w:r>
      <w:r w:rsidRPr="00D66621">
        <w:rPr>
          <w:sz w:val="24"/>
          <w:szCs w:val="24"/>
          <w:lang w:eastAsia="ar-SA"/>
        </w:rPr>
        <w:t> млн. руб</w:t>
      </w:r>
      <w:r>
        <w:rPr>
          <w:sz w:val="24"/>
          <w:szCs w:val="24"/>
          <w:lang w:eastAsia="ar-SA"/>
        </w:rPr>
        <w:t>лей</w:t>
      </w:r>
      <w:r w:rsidRPr="00D66621">
        <w:rPr>
          <w:sz w:val="24"/>
          <w:szCs w:val="24"/>
          <w:lang w:eastAsia="ar-SA"/>
        </w:rPr>
        <w:t xml:space="preserve"> (+</w:t>
      </w:r>
      <w:r>
        <w:rPr>
          <w:sz w:val="24"/>
          <w:szCs w:val="24"/>
          <w:lang w:eastAsia="ar-SA"/>
        </w:rPr>
        <w:t>473,6 млн. рублей).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D66621">
        <w:rPr>
          <w:sz w:val="24"/>
          <w:szCs w:val="24"/>
          <w:lang w:eastAsia="ar-SA"/>
        </w:rPr>
        <w:t xml:space="preserve">В производстве автотранспортных средств, прицепов и полуприцепов получена прибыль </w:t>
      </w:r>
      <w:r>
        <w:rPr>
          <w:sz w:val="24"/>
          <w:szCs w:val="24"/>
          <w:lang w:eastAsia="ar-SA"/>
        </w:rPr>
        <w:t>4 736,4</w:t>
      </w:r>
      <w:r w:rsidRPr="00D66621">
        <w:rPr>
          <w:sz w:val="24"/>
          <w:szCs w:val="24"/>
          <w:lang w:eastAsia="ar-SA"/>
        </w:rPr>
        <w:t xml:space="preserve"> млн. руб</w:t>
      </w:r>
      <w:r>
        <w:rPr>
          <w:sz w:val="24"/>
          <w:szCs w:val="24"/>
          <w:lang w:eastAsia="ar-SA"/>
        </w:rPr>
        <w:t>лей</w:t>
      </w:r>
      <w:r w:rsidRPr="00D66621">
        <w:rPr>
          <w:sz w:val="24"/>
          <w:szCs w:val="24"/>
          <w:lang w:eastAsia="ar-SA"/>
        </w:rPr>
        <w:t xml:space="preserve"> (рост на </w:t>
      </w:r>
      <w:r>
        <w:rPr>
          <w:sz w:val="24"/>
          <w:szCs w:val="24"/>
          <w:lang w:eastAsia="ar-SA"/>
        </w:rPr>
        <w:t>68,4</w:t>
      </w:r>
      <w:r w:rsidRPr="00D66621">
        <w:rPr>
          <w:sz w:val="24"/>
          <w:szCs w:val="24"/>
          <w:lang w:eastAsia="ar-SA"/>
        </w:rPr>
        <w:t>%</w:t>
      </w:r>
      <w:r>
        <w:rPr>
          <w:sz w:val="24"/>
          <w:szCs w:val="24"/>
          <w:lang w:eastAsia="ar-SA"/>
        </w:rPr>
        <w:t xml:space="preserve"> к уровню 1 полугодия прошлого года</w:t>
      </w:r>
      <w:r w:rsidRPr="00D66621">
        <w:rPr>
          <w:sz w:val="24"/>
          <w:szCs w:val="24"/>
          <w:lang w:eastAsia="ar-SA"/>
        </w:rPr>
        <w:t>)</w:t>
      </w:r>
      <w:r>
        <w:rPr>
          <w:sz w:val="24"/>
          <w:szCs w:val="24"/>
          <w:lang w:eastAsia="ar-SA"/>
        </w:rPr>
        <w:t>. По месяцам текущего года в данном виде экономической деятельности наблюдается поступательный рост прибыли: январь – 384,4 млн. рублей, февраль – 400,8 млн. рублей, март – 701,1 млн. рублей, апрель – 1085,4 млн. рублей, май – 976,1 млн. рублей, июнь – 1 188,6 млн. рублей.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Согласно данным Отчета о финансовых результатах АО «АВТОВАЗ» за 1</w:t>
      </w:r>
      <w:r w:rsidRPr="0028217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квартал 2019 года</w:t>
      </w:r>
      <w:r>
        <w:rPr>
          <w:rStyle w:val="affb"/>
          <w:sz w:val="24"/>
          <w:szCs w:val="24"/>
          <w:lang w:eastAsia="ar-SA"/>
        </w:rPr>
        <w:footnoteReference w:id="5"/>
      </w:r>
      <w:r>
        <w:rPr>
          <w:sz w:val="24"/>
          <w:szCs w:val="24"/>
          <w:lang w:eastAsia="ar-SA"/>
        </w:rPr>
        <w:t xml:space="preserve"> разница между выручкой (75 506 млн. рублей) и себестоимостью продаж (79 250 млн. рублей) сложилась отрицательная в сумме 3 744 млн. рублей. Прибыль до налогообложения в размере 435 млн. рублей сложилась за счёт доходов от полученных субсидий (компенсация уплаты утилизационного сбора) в размере 9 267 млн. рублей.   Позитивное влияние на продажи автомобилей АО «АВТОВАЗ» в </w:t>
      </w:r>
      <w:r>
        <w:rPr>
          <w:sz w:val="24"/>
          <w:szCs w:val="24"/>
          <w:lang w:val="en-US" w:eastAsia="ar-SA"/>
        </w:rPr>
        <w:t>I</w:t>
      </w:r>
      <w:r>
        <w:rPr>
          <w:sz w:val="24"/>
          <w:szCs w:val="24"/>
          <w:lang w:eastAsia="ar-SA"/>
        </w:rPr>
        <w:t xml:space="preserve"> полугодии 2019 года оказали государственные программы поддержки автопрома и более низкий уровень цен на </w:t>
      </w:r>
      <w:r>
        <w:rPr>
          <w:sz w:val="24"/>
          <w:szCs w:val="24"/>
          <w:lang w:eastAsia="ar-SA"/>
        </w:rPr>
        <w:lastRenderedPageBreak/>
        <w:t xml:space="preserve">автомобили </w:t>
      </w:r>
      <w:r>
        <w:rPr>
          <w:sz w:val="24"/>
          <w:szCs w:val="24"/>
          <w:lang w:val="en-US" w:eastAsia="ar-SA"/>
        </w:rPr>
        <w:t>LADA</w:t>
      </w:r>
      <w:r>
        <w:rPr>
          <w:sz w:val="24"/>
          <w:szCs w:val="24"/>
          <w:lang w:eastAsia="ar-SA"/>
        </w:rPr>
        <w:t xml:space="preserve"> по сравнению с автомобилями иностранной сборки в условиях роста курса доллара США.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 другим видам экономической деятельности организациями на 01.07.2019 получена прибыль в объеме 4 688,9 млн. рублей (рост на 9,9% к уровню 1 полугодия прошлого года). По месяцам 2019 года наблюдалась разнонаправленная динамика объемов прибыли.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Удельный вес прибыльных организаций в общем числе организаций за январь-июнь 2019 года составил 73,6% (в соответствующем периоде прошлого года - 70,5%). 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Наиболее высокая доля прибыльных организаций (100</w:t>
      </w:r>
      <w:r w:rsidR="00D0645A">
        <w:rPr>
          <w:sz w:val="24"/>
          <w:szCs w:val="24"/>
          <w:lang w:eastAsia="ar-SA"/>
        </w:rPr>
        <w:t>,0</w:t>
      </w:r>
      <w:r>
        <w:rPr>
          <w:sz w:val="24"/>
          <w:szCs w:val="24"/>
          <w:lang w:eastAsia="ar-SA"/>
        </w:rPr>
        <w:t>%) в следующих видах деятельности: производство пищевых продуктов, производство текстильных изделий, деятельность полиграфическая и копирование носителей информации, производство электрического оборудования, ремонт и монтаж оборудования, деятельность в области информации и связи, деятельность финансовая и страховая.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Низкая доля прибыльных организаций наблюдается в производстве прочей неметаллической минеральной продукции (25,0%), производстве готовых металлических изделий, кроме машин и оборудования (37,5%), деятельность гостиниц и предприятий общественного питания (50,0%).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 01.07.2019 от налогоплательщиков городского округа Тольятти в бюджетную систему Российской Федерации поступило налоговых доходов, администрируемых ФНС России, на сумму 21 510,1 млн. рублей </w:t>
      </w:r>
      <w:r w:rsidRPr="00D9433B">
        <w:rPr>
          <w:sz w:val="24"/>
          <w:szCs w:val="24"/>
          <w:lang w:eastAsia="ar-SA"/>
        </w:rPr>
        <w:t>(+</w:t>
      </w:r>
      <w:r>
        <w:rPr>
          <w:sz w:val="24"/>
          <w:szCs w:val="24"/>
          <w:lang w:eastAsia="ar-SA"/>
        </w:rPr>
        <w:t xml:space="preserve">18,5% к уровню прошлого года, в основном, за счет роста поступлений налога на прибыль и НДС), в том числе: в бюджет Российской Федерации зачислено – </w:t>
      </w:r>
      <w:r w:rsidRPr="00893AE1">
        <w:rPr>
          <w:sz w:val="24"/>
          <w:szCs w:val="24"/>
          <w:lang w:eastAsia="ar-SA"/>
        </w:rPr>
        <w:t xml:space="preserve">7 972,0 </w:t>
      </w:r>
      <w:r>
        <w:rPr>
          <w:sz w:val="24"/>
          <w:szCs w:val="24"/>
          <w:lang w:eastAsia="ar-SA"/>
        </w:rPr>
        <w:t>млн. рублей (или 0,1% в общем объеме налоговых доходов бюджета Российской Федерации), в консолидированный бюджет Самарской области – 13538,1 млн. рублей</w:t>
      </w:r>
      <w:r w:rsidRPr="00CC1B8D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(или 14,0% в общем объеме налоговых доходов областного консолидированного бюджета), из них зачислено в бюджет городского округа – 2 481,4 млн. рублей (или 11,5% от общего объема налоговых доходов, собранных на территории городского округа Тольятти).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 видам налогов </w:t>
      </w:r>
      <w:r w:rsidRPr="000F585F">
        <w:rPr>
          <w:sz w:val="24"/>
          <w:szCs w:val="24"/>
          <w:lang w:eastAsia="ar-SA"/>
        </w:rPr>
        <w:t>налоговые доходы</w:t>
      </w:r>
      <w:r>
        <w:rPr>
          <w:sz w:val="24"/>
          <w:szCs w:val="24"/>
          <w:lang w:eastAsia="ar-SA"/>
        </w:rPr>
        <w:t xml:space="preserve"> составили: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а) налоги на прибыль, доходы – 11 729,3 млн. рублей (+24,6% к уровню соответствующего периода прошлого года), в том числе: 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налог на прибыль организаций – 5 791,4 млн. рублей </w:t>
      </w:r>
      <w:r w:rsidRPr="00327698">
        <w:rPr>
          <w:sz w:val="24"/>
          <w:szCs w:val="24"/>
          <w:lang w:eastAsia="ar-SA"/>
        </w:rPr>
        <w:t>(+46,9%)</w:t>
      </w:r>
      <w:r>
        <w:rPr>
          <w:sz w:val="24"/>
          <w:szCs w:val="24"/>
          <w:lang w:eastAsia="ar-SA"/>
        </w:rPr>
        <w:t xml:space="preserve"> в связи с ростом прибыли крупных организаций; 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налог на доходы физических лиц (НДФЛ) – 5 937,9 млн. рублей (+8,5%), в основном, в связи с индексацией с 1 июля 2018 года тарифных ставок и окладов работников АО «АВТОВАЗ» на 6,9%, выплатой дивидендов (вознаграждений, премиальных выплат) отдельными предприятиями обрабатывающей промышленности (при этом рост фонда оплаты труда работников организаций, не относящихся к субъектам малого предпринимательства составил 105,0%); в местный бюджет зачислено НДФЛ на сумму 1 770,0 млн. рублей;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б) налоги на товары (работы, услуги) – </w:t>
      </w:r>
      <w:r w:rsidRPr="00F07C68">
        <w:rPr>
          <w:sz w:val="24"/>
          <w:szCs w:val="24"/>
          <w:lang w:eastAsia="ar-SA"/>
        </w:rPr>
        <w:t>10</w:t>
      </w:r>
      <w:r>
        <w:rPr>
          <w:sz w:val="24"/>
          <w:szCs w:val="24"/>
          <w:lang w:eastAsia="ar-SA"/>
        </w:rPr>
        <w:t> </w:t>
      </w:r>
      <w:r w:rsidRPr="00F07C68">
        <w:rPr>
          <w:sz w:val="24"/>
          <w:szCs w:val="24"/>
          <w:lang w:eastAsia="ar-SA"/>
        </w:rPr>
        <w:t>647</w:t>
      </w:r>
      <w:r>
        <w:rPr>
          <w:sz w:val="24"/>
          <w:szCs w:val="24"/>
          <w:lang w:eastAsia="ar-SA"/>
        </w:rPr>
        <w:t xml:space="preserve">,9 млн. рублей (+30,4%), в том числе: 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НДС – 7 211,4 млн. рублей (+28,3%), в основном, за счет </w:t>
      </w:r>
      <w:r w:rsidRPr="009003E4">
        <w:rPr>
          <w:sz w:val="24"/>
          <w:szCs w:val="24"/>
          <w:lang w:eastAsia="ar-SA"/>
        </w:rPr>
        <w:t xml:space="preserve">снижения </w:t>
      </w:r>
      <w:r>
        <w:rPr>
          <w:sz w:val="24"/>
          <w:szCs w:val="24"/>
          <w:lang w:eastAsia="ar-SA"/>
        </w:rPr>
        <w:t xml:space="preserve">на 73,2% </w:t>
      </w:r>
      <w:r w:rsidRPr="009003E4">
        <w:rPr>
          <w:sz w:val="24"/>
          <w:szCs w:val="24"/>
          <w:lang w:eastAsia="ar-SA"/>
        </w:rPr>
        <w:t xml:space="preserve">по сравнению с </w:t>
      </w:r>
      <w:r>
        <w:rPr>
          <w:sz w:val="24"/>
          <w:szCs w:val="24"/>
          <w:lang w:eastAsia="ar-SA"/>
        </w:rPr>
        <w:t xml:space="preserve">1 полугодием </w:t>
      </w:r>
      <w:r w:rsidRPr="009003E4">
        <w:rPr>
          <w:sz w:val="24"/>
          <w:szCs w:val="24"/>
          <w:lang w:eastAsia="ar-SA"/>
        </w:rPr>
        <w:t>201</w:t>
      </w:r>
      <w:r>
        <w:rPr>
          <w:sz w:val="24"/>
          <w:szCs w:val="24"/>
          <w:lang w:eastAsia="ar-SA"/>
        </w:rPr>
        <w:t>8</w:t>
      </w:r>
      <w:r w:rsidRPr="009003E4">
        <w:rPr>
          <w:sz w:val="24"/>
          <w:szCs w:val="24"/>
          <w:lang w:eastAsia="ar-SA"/>
        </w:rPr>
        <w:t xml:space="preserve"> год</w:t>
      </w:r>
      <w:r>
        <w:rPr>
          <w:sz w:val="24"/>
          <w:szCs w:val="24"/>
          <w:lang w:eastAsia="ar-SA"/>
        </w:rPr>
        <w:t>а</w:t>
      </w:r>
      <w:r w:rsidRPr="009003E4">
        <w:rPr>
          <w:sz w:val="24"/>
          <w:szCs w:val="24"/>
          <w:lang w:eastAsia="ar-SA"/>
        </w:rPr>
        <w:t xml:space="preserve"> объемов возмещения НДС и</w:t>
      </w:r>
      <w:r>
        <w:rPr>
          <w:sz w:val="24"/>
          <w:szCs w:val="24"/>
          <w:lang w:eastAsia="ar-SA"/>
        </w:rPr>
        <w:t>з</w:t>
      </w:r>
      <w:r w:rsidRPr="009003E4">
        <w:rPr>
          <w:sz w:val="24"/>
          <w:szCs w:val="24"/>
          <w:lang w:eastAsia="ar-SA"/>
        </w:rPr>
        <w:t xml:space="preserve"> бюджета по экспортным операциям</w:t>
      </w:r>
      <w:r>
        <w:rPr>
          <w:sz w:val="24"/>
          <w:szCs w:val="24"/>
          <w:lang w:eastAsia="ar-SA"/>
        </w:rPr>
        <w:t xml:space="preserve"> в химическом производстве</w:t>
      </w:r>
      <w:r w:rsidRPr="000E42EB">
        <w:rPr>
          <w:vertAlign w:val="superscript"/>
          <w:lang w:eastAsia="ar-SA"/>
        </w:rPr>
        <w:footnoteReference w:id="6"/>
      </w:r>
      <w:r>
        <w:rPr>
          <w:sz w:val="24"/>
          <w:szCs w:val="24"/>
          <w:lang w:eastAsia="ar-SA"/>
        </w:rPr>
        <w:t xml:space="preserve"> при одновременном повышении с 01.01.2019 </w:t>
      </w:r>
      <w:r>
        <w:rPr>
          <w:sz w:val="24"/>
          <w:szCs w:val="24"/>
          <w:lang w:eastAsia="ar-SA"/>
        </w:rPr>
        <w:lastRenderedPageBreak/>
        <w:t xml:space="preserve">ставки НДС с 18,0% до 20,0%; 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акцизы – (-63,4 млн. рублей) в связи с возмещением из бюджета акцизов на бензол, параксилол, ортоксилол и средние дистилляты, используемые в качестве сырья в химической промышленности, на общую сумму 566,6 млн. рублей; при этом снизились поступления акцизов на бензин на 0,4 млн. рублей, поступления акцизов на легковые автомобили - на 0,1 млн. рублей, на алкогольную продукцию - на 22,1 млн. рублей;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в) налоги на совокупный доход – 938,7 млн. рублей (+10,9%), в основном, в связи с ростом на 16,0% до 786,4 млн. рублей поступлений налога, взимаемого в связи с применением упрощенной системы налогообложения (УСН); из него в местный бюджет зачислено 15,7 млн. рублей (2,0% от общего объёма поступлений УСН).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-налог на вмененный доход для отдельных видов деятельности (ЕНВД) снизился на 11,6% до 140,5 млн. рублей, зачислен в бюджет городского округа Тольятти в полном объеме; 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налог, взимаемый в связи с применением патентной системы налогообложения – 11,1 млн. рублей (+17,7%), зачислен в бюджет городского округа Тольятти в полном объеме;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единый сельскохозяйственный налог – 0,7 млн. рублей, зачислен в бюджет городского округа Тольятти в полном объеме;</w:t>
      </w:r>
    </w:p>
    <w:p w:rsidR="00211E4E" w:rsidRPr="00C93EB1" w:rsidRDefault="00211E4E" w:rsidP="00211E4E">
      <w:pPr>
        <w:pStyle w:val="aff0"/>
        <w:tabs>
          <w:tab w:val="num" w:pos="0"/>
        </w:tabs>
        <w:spacing w:line="276" w:lineRule="auto"/>
        <w:ind w:firstLine="69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г) налоги на имущество – 1 629,2 млн. рублей, что на 29,3% меньше, чем в 1 полугодии прошлого года, в основном, за счет снижения на 42,3% до 968,0 млн. рублей поступления налога на имущества </w:t>
      </w:r>
      <w:r w:rsidRPr="00C93EB1">
        <w:rPr>
          <w:sz w:val="24"/>
          <w:szCs w:val="24"/>
          <w:lang w:eastAsia="ar-SA"/>
        </w:rPr>
        <w:t>организаций</w:t>
      </w:r>
      <w:r>
        <w:rPr>
          <w:sz w:val="24"/>
          <w:szCs w:val="24"/>
          <w:lang w:eastAsia="ar-SA"/>
        </w:rPr>
        <w:t xml:space="preserve"> (в части ежеквартальных авансовых платежей за 1</w:t>
      </w:r>
      <w:r w:rsidRPr="004412D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и 2 кварталы 2019 года) </w:t>
      </w:r>
      <w:r w:rsidRPr="00C93EB1">
        <w:rPr>
          <w:sz w:val="24"/>
          <w:szCs w:val="24"/>
          <w:lang w:eastAsia="ar-SA"/>
        </w:rPr>
        <w:t xml:space="preserve">в связи с исключением </w:t>
      </w:r>
      <w:r>
        <w:rPr>
          <w:sz w:val="24"/>
          <w:szCs w:val="24"/>
          <w:lang w:eastAsia="ar-SA"/>
        </w:rPr>
        <w:t xml:space="preserve">с 01.01.2019 </w:t>
      </w:r>
      <w:r w:rsidRPr="00C93EB1">
        <w:rPr>
          <w:sz w:val="24"/>
          <w:szCs w:val="24"/>
          <w:lang w:eastAsia="ar-SA"/>
        </w:rPr>
        <w:t>из статьи 374 «Объект налогообложения» Налогового кодекса Российской Федерации движимо</w:t>
      </w:r>
      <w:r>
        <w:rPr>
          <w:sz w:val="24"/>
          <w:szCs w:val="24"/>
          <w:lang w:eastAsia="ar-SA"/>
        </w:rPr>
        <w:t>го</w:t>
      </w:r>
      <w:r w:rsidRPr="00C93EB1">
        <w:rPr>
          <w:sz w:val="24"/>
          <w:szCs w:val="24"/>
          <w:lang w:eastAsia="ar-SA"/>
        </w:rPr>
        <w:t xml:space="preserve"> имущество организаций</w:t>
      </w:r>
      <w:r>
        <w:rPr>
          <w:rStyle w:val="affb"/>
          <w:sz w:val="24"/>
          <w:szCs w:val="24"/>
          <w:lang w:eastAsia="ar-SA"/>
        </w:rPr>
        <w:footnoteReference w:id="7"/>
      </w:r>
      <w:r>
        <w:rPr>
          <w:sz w:val="24"/>
          <w:szCs w:val="24"/>
          <w:lang w:eastAsia="ar-SA"/>
        </w:rPr>
        <w:t xml:space="preserve">; 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земельный налог -  411,4 млн. рублей (+6,5%) зачислен в бюджет городского округа Тольятти в полном объеме; 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2E7D6B">
        <w:rPr>
          <w:sz w:val="24"/>
          <w:szCs w:val="24"/>
          <w:lang w:eastAsia="ar-SA"/>
        </w:rPr>
        <w:t>налог на имущество физических лиц</w:t>
      </w:r>
      <w:r>
        <w:rPr>
          <w:sz w:val="24"/>
          <w:szCs w:val="24"/>
          <w:lang w:eastAsia="ar-SA"/>
        </w:rPr>
        <w:t xml:space="preserve"> (НИФЛ)</w:t>
      </w:r>
      <w:r w:rsidRPr="002E7D6B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- 79,7</w:t>
      </w:r>
      <w:r w:rsidRPr="002E7D6B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млн</w:t>
      </w:r>
      <w:r w:rsidRPr="002E7D6B">
        <w:rPr>
          <w:sz w:val="24"/>
          <w:szCs w:val="24"/>
          <w:lang w:eastAsia="ar-SA"/>
        </w:rPr>
        <w:t>. руб</w:t>
      </w:r>
      <w:r>
        <w:rPr>
          <w:sz w:val="24"/>
          <w:szCs w:val="24"/>
          <w:lang w:eastAsia="ar-SA"/>
        </w:rPr>
        <w:t>лей (+12,7%) зачислен в бюджет городского округа Тольятти в полном объеме;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транспортный налог – 170,1 млн. рублей (+1,7%); 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112F96">
        <w:rPr>
          <w:sz w:val="24"/>
          <w:szCs w:val="24"/>
          <w:lang w:eastAsia="ar-SA"/>
        </w:rPr>
        <w:t>налоги, сборы за пользование природными ресурсами и прочие налоговые доходы</w:t>
      </w:r>
      <w:r>
        <w:rPr>
          <w:sz w:val="24"/>
          <w:szCs w:val="24"/>
          <w:lang w:eastAsia="ar-SA"/>
        </w:rPr>
        <w:t xml:space="preserve"> – 132,0 млн. рублей (+ 6,7%), из них в </w:t>
      </w:r>
      <w:r w:rsidRPr="00CC1BCB">
        <w:rPr>
          <w:sz w:val="24"/>
          <w:szCs w:val="24"/>
          <w:lang w:eastAsia="ar-SA"/>
        </w:rPr>
        <w:t xml:space="preserve">бюджет городского округа Тольятти </w:t>
      </w:r>
      <w:r>
        <w:rPr>
          <w:sz w:val="24"/>
          <w:szCs w:val="24"/>
          <w:lang w:eastAsia="ar-SA"/>
        </w:rPr>
        <w:t>поступило 120,5 млн. рублей.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Таким образом, в бюджет городского округа Тольятти за 6 месяцев 2019 года поступило налоговых доходов на общую сумму 2 549,6 млн. рублей.  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DE6587">
        <w:rPr>
          <w:sz w:val="24"/>
          <w:szCs w:val="24"/>
          <w:lang w:eastAsia="ar-SA"/>
        </w:rPr>
        <w:t>Неналоговые доходы</w:t>
      </w:r>
      <w:r>
        <w:rPr>
          <w:sz w:val="24"/>
          <w:szCs w:val="24"/>
          <w:lang w:eastAsia="ar-SA"/>
        </w:rPr>
        <w:t xml:space="preserve"> в бюджет городского округа за 6 месяцев 2019 года поступили в сумме 424,6 млн. рублей (-15,2%), в том числе: </w:t>
      </w:r>
    </w:p>
    <w:p w:rsidR="00211E4E" w:rsidRPr="00DE6587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DE6587">
        <w:rPr>
          <w:sz w:val="24"/>
          <w:szCs w:val="24"/>
          <w:lang w:eastAsia="ar-SA"/>
        </w:rPr>
        <w:t xml:space="preserve">- доходы от использования имущества, находящегося в государственной и муниципальной собственности – </w:t>
      </w:r>
      <w:r>
        <w:rPr>
          <w:sz w:val="24"/>
          <w:szCs w:val="24"/>
          <w:lang w:eastAsia="ar-SA"/>
        </w:rPr>
        <w:t>268,3 млн</w:t>
      </w:r>
      <w:r w:rsidRPr="00DE6587">
        <w:rPr>
          <w:sz w:val="24"/>
          <w:szCs w:val="24"/>
          <w:lang w:eastAsia="ar-SA"/>
        </w:rPr>
        <w:t>. руб</w:t>
      </w:r>
      <w:r>
        <w:rPr>
          <w:sz w:val="24"/>
          <w:szCs w:val="24"/>
          <w:lang w:eastAsia="ar-SA"/>
        </w:rPr>
        <w:t>лей</w:t>
      </w:r>
      <w:r w:rsidRPr="00DE6587">
        <w:rPr>
          <w:sz w:val="24"/>
          <w:szCs w:val="24"/>
          <w:lang w:eastAsia="ar-SA"/>
        </w:rPr>
        <w:t xml:space="preserve"> (</w:t>
      </w:r>
      <w:r>
        <w:rPr>
          <w:sz w:val="24"/>
          <w:szCs w:val="24"/>
          <w:lang w:eastAsia="ar-SA"/>
        </w:rPr>
        <w:t>-21,8</w:t>
      </w:r>
      <w:r w:rsidRPr="00DE6587">
        <w:rPr>
          <w:sz w:val="24"/>
          <w:szCs w:val="24"/>
          <w:lang w:eastAsia="ar-SA"/>
        </w:rPr>
        <w:t>%)</w:t>
      </w:r>
      <w:r>
        <w:rPr>
          <w:sz w:val="24"/>
          <w:szCs w:val="24"/>
          <w:lang w:eastAsia="ar-SA"/>
        </w:rPr>
        <w:t xml:space="preserve">, в основном, за счёт снижения </w:t>
      </w:r>
      <w:r>
        <w:rPr>
          <w:sz w:val="24"/>
          <w:szCs w:val="24"/>
          <w:lang w:eastAsia="ar-SA"/>
        </w:rPr>
        <w:lastRenderedPageBreak/>
        <w:t>на 67,7 млн. рублей (до 210,3 млн. рублей) поступлений арендной платы за земельные участки в связи с изменением кадастровой стоимости земельных участков по решениям суда, а также в связи с изменением процентов от кадастровой стоимости земельных участков, применяемых при расчёте арендной платы</w:t>
      </w:r>
      <w:r w:rsidRPr="00DE6587">
        <w:rPr>
          <w:sz w:val="24"/>
          <w:szCs w:val="24"/>
          <w:lang w:eastAsia="ar-SA"/>
        </w:rPr>
        <w:t xml:space="preserve">; </w:t>
      </w:r>
      <w:r>
        <w:rPr>
          <w:sz w:val="24"/>
          <w:szCs w:val="24"/>
          <w:lang w:eastAsia="ar-SA"/>
        </w:rPr>
        <w:t>при этом доходы от сдачи в аренду муниципального имущества выросли на 11,0% до 38,2 млн. рублей за счёт увеличения арендуемых площадей, увеличения базовой ставки арендной платы за муниципальные нежилые помещения, погашения задолженности по решениям суда, а также внесения изменений в договоры аренды с физическими лицами, в части оплаты НДС в соответствии с пунктом 3 статьи 161 Налогового кодекса Российской Федерации;</w:t>
      </w:r>
    </w:p>
    <w:p w:rsidR="00211E4E" w:rsidRDefault="00211E4E" w:rsidP="00211E4E">
      <w:pPr>
        <w:spacing w:line="276" w:lineRule="auto"/>
        <w:ind w:firstLine="720"/>
        <w:jc w:val="both"/>
        <w:rPr>
          <w:sz w:val="24"/>
          <w:szCs w:val="24"/>
          <w:lang w:eastAsia="ar-SA"/>
        </w:rPr>
      </w:pPr>
      <w:r w:rsidRPr="00DE6587">
        <w:rPr>
          <w:sz w:val="24"/>
          <w:szCs w:val="24"/>
          <w:lang w:eastAsia="ar-SA"/>
        </w:rPr>
        <w:t xml:space="preserve">- плата за негативное воздействие на окружающую среду – </w:t>
      </w:r>
      <w:r>
        <w:rPr>
          <w:sz w:val="24"/>
          <w:szCs w:val="24"/>
          <w:lang w:eastAsia="ar-SA"/>
        </w:rPr>
        <w:t>28,5 млн</w:t>
      </w:r>
      <w:r w:rsidRPr="00DE6587">
        <w:rPr>
          <w:sz w:val="24"/>
          <w:szCs w:val="24"/>
          <w:lang w:eastAsia="ar-SA"/>
        </w:rPr>
        <w:t>. руб</w:t>
      </w:r>
      <w:r>
        <w:rPr>
          <w:sz w:val="24"/>
          <w:szCs w:val="24"/>
          <w:lang w:eastAsia="ar-SA"/>
        </w:rPr>
        <w:t>лей</w:t>
      </w:r>
      <w:r w:rsidRPr="00DE6587">
        <w:rPr>
          <w:sz w:val="24"/>
          <w:szCs w:val="24"/>
          <w:lang w:eastAsia="ar-SA"/>
        </w:rPr>
        <w:t xml:space="preserve"> (</w:t>
      </w:r>
      <w:r>
        <w:rPr>
          <w:sz w:val="24"/>
          <w:szCs w:val="24"/>
          <w:lang w:eastAsia="ar-SA"/>
        </w:rPr>
        <w:t>-24,6</w:t>
      </w:r>
      <w:r w:rsidRPr="00DE6587">
        <w:rPr>
          <w:sz w:val="24"/>
          <w:szCs w:val="24"/>
          <w:lang w:eastAsia="ar-SA"/>
        </w:rPr>
        <w:t>%</w:t>
      </w:r>
      <w:r>
        <w:rPr>
          <w:sz w:val="24"/>
          <w:szCs w:val="24"/>
          <w:lang w:eastAsia="ar-SA"/>
        </w:rPr>
        <w:t>)</w:t>
      </w:r>
      <w:r w:rsidRPr="00DE6587">
        <w:rPr>
          <w:sz w:val="24"/>
          <w:szCs w:val="24"/>
          <w:lang w:eastAsia="ar-SA"/>
        </w:rPr>
        <w:t xml:space="preserve">, в основном, в связи </w:t>
      </w:r>
      <w:r w:rsidRPr="003F368C">
        <w:rPr>
          <w:sz w:val="24"/>
          <w:szCs w:val="24"/>
          <w:lang w:eastAsia="ar-SA"/>
        </w:rPr>
        <w:t>с</w:t>
      </w:r>
      <w:r>
        <w:rPr>
          <w:sz w:val="24"/>
          <w:szCs w:val="24"/>
          <w:lang w:eastAsia="ar-SA"/>
        </w:rPr>
        <w:t>о снижением по сравнению с январем-июнем 2018 года случаев</w:t>
      </w:r>
      <w:r w:rsidRPr="003F368C">
        <w:rPr>
          <w:sz w:val="24"/>
          <w:szCs w:val="24"/>
          <w:lang w:eastAsia="ar-SA"/>
        </w:rPr>
        <w:t xml:space="preserve"> превышени</w:t>
      </w:r>
      <w:r>
        <w:rPr>
          <w:sz w:val="24"/>
          <w:szCs w:val="24"/>
          <w:lang w:eastAsia="ar-SA"/>
        </w:rPr>
        <w:t>я</w:t>
      </w:r>
      <w:r w:rsidRPr="003F368C">
        <w:rPr>
          <w:sz w:val="24"/>
          <w:szCs w:val="24"/>
          <w:lang w:eastAsia="ar-SA"/>
        </w:rPr>
        <w:t xml:space="preserve"> установленных лимитов за размещение отходов производства и загряз</w:t>
      </w:r>
      <w:r>
        <w:rPr>
          <w:sz w:val="24"/>
          <w:szCs w:val="24"/>
          <w:lang w:eastAsia="ar-SA"/>
        </w:rPr>
        <w:t>няющих веществ в водные объекты;</w:t>
      </w:r>
    </w:p>
    <w:p w:rsidR="00211E4E" w:rsidRPr="003F368C" w:rsidRDefault="00211E4E" w:rsidP="00211E4E">
      <w:pPr>
        <w:spacing w:line="276" w:lineRule="auto"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д</w:t>
      </w:r>
      <w:r w:rsidRPr="006C62C0">
        <w:rPr>
          <w:sz w:val="24"/>
          <w:szCs w:val="24"/>
          <w:lang w:eastAsia="ar-SA"/>
        </w:rPr>
        <w:t>оходы от оказания платных услуг (работ) и компенсации затрат государства</w:t>
      </w:r>
      <w:r>
        <w:rPr>
          <w:sz w:val="24"/>
          <w:szCs w:val="24"/>
          <w:lang w:eastAsia="ar-SA"/>
        </w:rPr>
        <w:t xml:space="preserve"> – 2,2 млн. рублей (+8,0%) </w:t>
      </w:r>
      <w:r w:rsidRPr="006C62C0">
        <w:rPr>
          <w:sz w:val="24"/>
          <w:szCs w:val="24"/>
          <w:lang w:eastAsia="ar-SA"/>
        </w:rPr>
        <w:t>в связи с возвратами дебиторской задолженности прошлых лет</w:t>
      </w:r>
      <w:r>
        <w:rPr>
          <w:sz w:val="24"/>
          <w:szCs w:val="24"/>
          <w:lang w:eastAsia="ar-SA"/>
        </w:rPr>
        <w:t xml:space="preserve">; </w:t>
      </w:r>
    </w:p>
    <w:p w:rsidR="00211E4E" w:rsidRPr="00846240" w:rsidRDefault="00211E4E" w:rsidP="00211E4E">
      <w:pPr>
        <w:spacing w:line="276" w:lineRule="auto"/>
        <w:ind w:firstLine="720"/>
        <w:jc w:val="both"/>
        <w:rPr>
          <w:sz w:val="24"/>
          <w:szCs w:val="24"/>
          <w:lang w:eastAsia="ar-SA"/>
        </w:rPr>
      </w:pPr>
      <w:r w:rsidRPr="00DE6587">
        <w:rPr>
          <w:sz w:val="24"/>
          <w:szCs w:val="24"/>
          <w:lang w:eastAsia="ar-SA"/>
        </w:rPr>
        <w:t xml:space="preserve">- доходы от продажи материальных и нематериальных активов – </w:t>
      </w:r>
      <w:r>
        <w:rPr>
          <w:sz w:val="24"/>
          <w:szCs w:val="24"/>
          <w:lang w:eastAsia="ar-SA"/>
        </w:rPr>
        <w:t>31,6 млн. рублей (</w:t>
      </w:r>
      <w:r>
        <w:rPr>
          <w:sz w:val="24"/>
          <w:szCs w:val="24"/>
          <w:lang w:eastAsia="ar-SA"/>
        </w:rPr>
        <w:noBreakHyphen/>
        <w:t>31,7</w:t>
      </w:r>
      <w:r w:rsidRPr="00DE6587">
        <w:rPr>
          <w:sz w:val="24"/>
          <w:szCs w:val="24"/>
          <w:lang w:eastAsia="ar-SA"/>
        </w:rPr>
        <w:t>%)</w:t>
      </w:r>
      <w:r>
        <w:rPr>
          <w:sz w:val="24"/>
          <w:szCs w:val="24"/>
          <w:lang w:eastAsia="ar-SA"/>
        </w:rPr>
        <w:t xml:space="preserve"> в связи с тем, что </w:t>
      </w:r>
      <w:r w:rsidRPr="00846240">
        <w:rPr>
          <w:sz w:val="24"/>
          <w:szCs w:val="24"/>
          <w:lang w:eastAsia="ar-SA"/>
        </w:rPr>
        <w:t>из 25 объектов недвижимости, подлежащих приватизации на аукционе, в отношении 17 объектов торги дважды были признаны несостоявшимися, по 4 объектам аукционы по продаже не проводились (по 3 объектам заключены договоры аренды, 1 объект передан в оперативное управление), по 1 объекту аукцион по продаже не проводился, так как он подлежит приватизации по способу – продажа на конкурсе.</w:t>
      </w:r>
    </w:p>
    <w:p w:rsidR="00211E4E" w:rsidRPr="00DE6587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DE6587">
        <w:rPr>
          <w:sz w:val="24"/>
          <w:szCs w:val="24"/>
          <w:lang w:eastAsia="ar-SA"/>
        </w:rPr>
        <w:t xml:space="preserve">- штрафы, санкции, возмещение ущерба поступили в сумме </w:t>
      </w:r>
      <w:r>
        <w:rPr>
          <w:sz w:val="24"/>
          <w:szCs w:val="24"/>
          <w:lang w:eastAsia="ar-SA"/>
        </w:rPr>
        <w:t>41,7</w:t>
      </w:r>
      <w:r w:rsidRPr="00DE6587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млн. рублей</w:t>
      </w:r>
      <w:r w:rsidRPr="00DE6587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         </w:t>
      </w:r>
      <w:r w:rsidRPr="00DE6587">
        <w:rPr>
          <w:sz w:val="24"/>
          <w:szCs w:val="24"/>
          <w:lang w:eastAsia="ar-SA"/>
        </w:rPr>
        <w:t>(</w:t>
      </w:r>
      <w:r>
        <w:rPr>
          <w:sz w:val="24"/>
          <w:szCs w:val="24"/>
          <w:lang w:eastAsia="ar-SA"/>
        </w:rPr>
        <w:t>-12,2</w:t>
      </w:r>
      <w:r w:rsidRPr="00DE6587">
        <w:rPr>
          <w:sz w:val="24"/>
          <w:szCs w:val="24"/>
          <w:lang w:eastAsia="ar-SA"/>
        </w:rPr>
        <w:t>%);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DE6587">
        <w:rPr>
          <w:sz w:val="24"/>
          <w:szCs w:val="24"/>
          <w:lang w:eastAsia="ar-SA"/>
        </w:rPr>
        <w:t xml:space="preserve">- прочие неналоговые доходы – </w:t>
      </w:r>
      <w:r>
        <w:rPr>
          <w:sz w:val="24"/>
          <w:szCs w:val="24"/>
          <w:lang w:eastAsia="ar-SA"/>
        </w:rPr>
        <w:t>52,3</w:t>
      </w:r>
      <w:r w:rsidRPr="00DE6587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млн</w:t>
      </w:r>
      <w:r w:rsidRPr="00DE6587">
        <w:rPr>
          <w:sz w:val="24"/>
          <w:szCs w:val="24"/>
          <w:lang w:eastAsia="ar-SA"/>
        </w:rPr>
        <w:t>. руб</w:t>
      </w:r>
      <w:r>
        <w:rPr>
          <w:sz w:val="24"/>
          <w:szCs w:val="24"/>
          <w:lang w:eastAsia="ar-SA"/>
        </w:rPr>
        <w:t>лей</w:t>
      </w:r>
      <w:r w:rsidRPr="00DE6587">
        <w:rPr>
          <w:sz w:val="24"/>
          <w:szCs w:val="24"/>
          <w:lang w:eastAsia="ar-SA"/>
        </w:rPr>
        <w:t xml:space="preserve"> (</w:t>
      </w:r>
      <w:r>
        <w:rPr>
          <w:sz w:val="24"/>
          <w:szCs w:val="24"/>
          <w:lang w:eastAsia="ar-SA"/>
        </w:rPr>
        <w:t>рост в 2,2 раза).</w:t>
      </w:r>
      <w:r w:rsidRPr="00DE6587">
        <w:rPr>
          <w:sz w:val="24"/>
          <w:szCs w:val="24"/>
          <w:lang w:eastAsia="ar-SA"/>
        </w:rPr>
        <w:t xml:space="preserve">  </w:t>
      </w:r>
    </w:p>
    <w:p w:rsidR="00211E4E" w:rsidRPr="00DE6587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DE6587">
        <w:rPr>
          <w:sz w:val="24"/>
          <w:szCs w:val="24"/>
          <w:lang w:eastAsia="ar-SA"/>
        </w:rPr>
        <w:t>Расходы бюджета городского округа</w:t>
      </w:r>
      <w:r>
        <w:rPr>
          <w:sz w:val="24"/>
          <w:szCs w:val="24"/>
          <w:lang w:eastAsia="ar-SA"/>
        </w:rPr>
        <w:t xml:space="preserve"> (без расходов из вышестоящих бюджетов)</w:t>
      </w:r>
      <w:r w:rsidRPr="00DE6587">
        <w:rPr>
          <w:sz w:val="24"/>
          <w:szCs w:val="24"/>
          <w:lang w:eastAsia="ar-SA"/>
        </w:rPr>
        <w:t xml:space="preserve"> за 1 полугодие 201</w:t>
      </w:r>
      <w:r>
        <w:rPr>
          <w:sz w:val="24"/>
          <w:szCs w:val="24"/>
          <w:lang w:eastAsia="ar-SA"/>
        </w:rPr>
        <w:t>9</w:t>
      </w:r>
      <w:r w:rsidRPr="00DE6587">
        <w:rPr>
          <w:sz w:val="24"/>
          <w:szCs w:val="24"/>
          <w:lang w:eastAsia="ar-SA"/>
        </w:rPr>
        <w:t xml:space="preserve"> года </w:t>
      </w:r>
      <w:r>
        <w:rPr>
          <w:sz w:val="24"/>
          <w:szCs w:val="24"/>
          <w:lang w:eastAsia="ar-SA"/>
        </w:rPr>
        <w:t xml:space="preserve">остались практически на уровне соответствующего периода прошлого года (+1,0%) </w:t>
      </w:r>
      <w:r w:rsidRPr="00DE6587">
        <w:rPr>
          <w:sz w:val="24"/>
          <w:szCs w:val="24"/>
          <w:lang w:eastAsia="ar-SA"/>
        </w:rPr>
        <w:t xml:space="preserve">и составили </w:t>
      </w:r>
      <w:r w:rsidRPr="00BC013B">
        <w:rPr>
          <w:sz w:val="24"/>
          <w:szCs w:val="24"/>
          <w:lang w:eastAsia="ar-SA"/>
        </w:rPr>
        <w:t>3 382,</w:t>
      </w:r>
      <w:r>
        <w:rPr>
          <w:sz w:val="24"/>
          <w:szCs w:val="24"/>
          <w:lang w:eastAsia="ar-SA"/>
        </w:rPr>
        <w:t>0 млн</w:t>
      </w:r>
      <w:r w:rsidRPr="00DE6587">
        <w:rPr>
          <w:sz w:val="24"/>
          <w:szCs w:val="24"/>
          <w:lang w:eastAsia="ar-SA"/>
        </w:rPr>
        <w:t>. руб</w:t>
      </w:r>
      <w:r>
        <w:rPr>
          <w:sz w:val="24"/>
          <w:szCs w:val="24"/>
          <w:lang w:eastAsia="ar-SA"/>
        </w:rPr>
        <w:t>лей</w:t>
      </w:r>
      <w:r w:rsidRPr="00DE6587">
        <w:rPr>
          <w:sz w:val="24"/>
          <w:szCs w:val="24"/>
          <w:lang w:eastAsia="ar-SA"/>
        </w:rPr>
        <w:t xml:space="preserve">, в том числе по направлениям: </w:t>
      </w:r>
    </w:p>
    <w:p w:rsidR="00211E4E" w:rsidRPr="00DE6587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DE6587">
        <w:rPr>
          <w:sz w:val="24"/>
          <w:szCs w:val="24"/>
          <w:lang w:eastAsia="ar-SA"/>
        </w:rPr>
        <w:t>- общегосударственные расходы – 60</w:t>
      </w:r>
      <w:r>
        <w:rPr>
          <w:sz w:val="24"/>
          <w:szCs w:val="24"/>
          <w:lang w:eastAsia="ar-SA"/>
        </w:rPr>
        <w:t>9,7</w:t>
      </w:r>
      <w:r w:rsidRPr="00DE6587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млн</w:t>
      </w:r>
      <w:r w:rsidRPr="00DE6587">
        <w:rPr>
          <w:sz w:val="24"/>
          <w:szCs w:val="24"/>
          <w:lang w:eastAsia="ar-SA"/>
        </w:rPr>
        <w:t>. руб</w:t>
      </w:r>
      <w:r>
        <w:rPr>
          <w:sz w:val="24"/>
          <w:szCs w:val="24"/>
          <w:lang w:eastAsia="ar-SA"/>
        </w:rPr>
        <w:t>лей</w:t>
      </w:r>
      <w:r w:rsidRPr="00DE6587">
        <w:rPr>
          <w:sz w:val="24"/>
          <w:szCs w:val="24"/>
          <w:lang w:eastAsia="ar-SA"/>
        </w:rPr>
        <w:t xml:space="preserve"> (+</w:t>
      </w:r>
      <w:r>
        <w:rPr>
          <w:sz w:val="24"/>
          <w:szCs w:val="24"/>
          <w:lang w:eastAsia="ar-SA"/>
        </w:rPr>
        <w:t>3,9</w:t>
      </w:r>
      <w:r w:rsidRPr="00DE6587">
        <w:rPr>
          <w:sz w:val="24"/>
          <w:szCs w:val="24"/>
          <w:lang w:eastAsia="ar-SA"/>
        </w:rPr>
        <w:t>%);</w:t>
      </w:r>
    </w:p>
    <w:p w:rsidR="00211E4E" w:rsidRPr="00DE6587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DE6587">
        <w:rPr>
          <w:sz w:val="24"/>
          <w:szCs w:val="24"/>
          <w:lang w:eastAsia="ar-SA"/>
        </w:rPr>
        <w:t xml:space="preserve">- национальная безопасность и правоохранительная деятельность – </w:t>
      </w:r>
      <w:r>
        <w:rPr>
          <w:sz w:val="24"/>
          <w:szCs w:val="24"/>
          <w:lang w:eastAsia="ar-SA"/>
        </w:rPr>
        <w:t>56,4 млн</w:t>
      </w:r>
      <w:r w:rsidRPr="00DE6587">
        <w:rPr>
          <w:sz w:val="24"/>
          <w:szCs w:val="24"/>
          <w:lang w:eastAsia="ar-SA"/>
        </w:rPr>
        <w:t>. руб</w:t>
      </w:r>
      <w:r>
        <w:rPr>
          <w:sz w:val="24"/>
          <w:szCs w:val="24"/>
          <w:lang w:eastAsia="ar-SA"/>
        </w:rPr>
        <w:t>лей</w:t>
      </w:r>
      <w:r w:rsidRPr="00DE6587">
        <w:rPr>
          <w:sz w:val="24"/>
          <w:szCs w:val="24"/>
          <w:lang w:eastAsia="ar-SA"/>
        </w:rPr>
        <w:t xml:space="preserve"> (</w:t>
      </w:r>
      <w:r>
        <w:rPr>
          <w:sz w:val="24"/>
          <w:szCs w:val="24"/>
          <w:lang w:eastAsia="ar-SA"/>
        </w:rPr>
        <w:t>-1,9</w:t>
      </w:r>
      <w:r w:rsidRPr="00DE6587">
        <w:rPr>
          <w:sz w:val="24"/>
          <w:szCs w:val="24"/>
          <w:lang w:eastAsia="ar-SA"/>
        </w:rPr>
        <w:t>%);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DE6587">
        <w:rPr>
          <w:sz w:val="24"/>
          <w:szCs w:val="24"/>
          <w:lang w:eastAsia="ar-SA"/>
        </w:rPr>
        <w:t>- национальная экономика</w:t>
      </w:r>
      <w:r>
        <w:rPr>
          <w:sz w:val="24"/>
          <w:szCs w:val="24"/>
          <w:lang w:eastAsia="ar-SA"/>
        </w:rPr>
        <w:t xml:space="preserve"> </w:t>
      </w:r>
      <w:r w:rsidRPr="00DE6587">
        <w:rPr>
          <w:sz w:val="24"/>
          <w:szCs w:val="24"/>
          <w:lang w:eastAsia="ar-SA"/>
        </w:rPr>
        <w:t xml:space="preserve">– </w:t>
      </w:r>
      <w:r>
        <w:rPr>
          <w:sz w:val="24"/>
          <w:szCs w:val="24"/>
          <w:lang w:eastAsia="ar-SA"/>
        </w:rPr>
        <w:t>420,6 млн. рублей</w:t>
      </w:r>
      <w:r w:rsidRPr="00DE6587">
        <w:rPr>
          <w:sz w:val="24"/>
          <w:szCs w:val="24"/>
          <w:lang w:eastAsia="ar-SA"/>
        </w:rPr>
        <w:t xml:space="preserve"> (-</w:t>
      </w:r>
      <w:r>
        <w:rPr>
          <w:sz w:val="24"/>
          <w:szCs w:val="24"/>
          <w:lang w:eastAsia="ar-SA"/>
        </w:rPr>
        <w:t>12,5</w:t>
      </w:r>
      <w:r w:rsidRPr="00DE6587">
        <w:rPr>
          <w:sz w:val="24"/>
          <w:szCs w:val="24"/>
          <w:lang w:eastAsia="ar-SA"/>
        </w:rPr>
        <w:t>%</w:t>
      </w:r>
      <w:r>
        <w:rPr>
          <w:sz w:val="24"/>
          <w:szCs w:val="24"/>
          <w:lang w:eastAsia="ar-SA"/>
        </w:rPr>
        <w:t>);</w:t>
      </w:r>
    </w:p>
    <w:p w:rsidR="00211E4E" w:rsidRPr="00DE6587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DE6587">
        <w:rPr>
          <w:sz w:val="24"/>
          <w:szCs w:val="24"/>
          <w:lang w:eastAsia="ar-SA"/>
        </w:rPr>
        <w:t xml:space="preserve">- жилищно-коммунальное хозяйство – </w:t>
      </w:r>
      <w:r>
        <w:rPr>
          <w:sz w:val="24"/>
          <w:szCs w:val="24"/>
          <w:lang w:eastAsia="ar-SA"/>
        </w:rPr>
        <w:t>343,0 млн. рублей</w:t>
      </w:r>
      <w:r w:rsidRPr="00DE6587">
        <w:rPr>
          <w:sz w:val="24"/>
          <w:szCs w:val="24"/>
          <w:lang w:eastAsia="ar-SA"/>
        </w:rPr>
        <w:t xml:space="preserve"> (+</w:t>
      </w:r>
      <w:r>
        <w:rPr>
          <w:sz w:val="24"/>
          <w:szCs w:val="24"/>
          <w:lang w:eastAsia="ar-SA"/>
        </w:rPr>
        <w:t>4</w:t>
      </w:r>
      <w:r w:rsidRPr="00DE6587">
        <w:rPr>
          <w:sz w:val="24"/>
          <w:szCs w:val="24"/>
          <w:lang w:eastAsia="ar-SA"/>
        </w:rPr>
        <w:t>,4%);</w:t>
      </w:r>
    </w:p>
    <w:p w:rsidR="00211E4E" w:rsidRPr="00DE6587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DE6587">
        <w:rPr>
          <w:sz w:val="24"/>
          <w:szCs w:val="24"/>
          <w:lang w:eastAsia="ar-SA"/>
        </w:rPr>
        <w:t xml:space="preserve">- охрана окружающей среды – </w:t>
      </w:r>
      <w:r>
        <w:rPr>
          <w:sz w:val="24"/>
          <w:szCs w:val="24"/>
          <w:lang w:eastAsia="ar-SA"/>
        </w:rPr>
        <w:t>1,6</w:t>
      </w:r>
      <w:r w:rsidRPr="00DE6587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млн</w:t>
      </w:r>
      <w:r w:rsidRPr="00DE6587">
        <w:rPr>
          <w:sz w:val="24"/>
          <w:szCs w:val="24"/>
          <w:lang w:eastAsia="ar-SA"/>
        </w:rPr>
        <w:t>. руб</w:t>
      </w:r>
      <w:r>
        <w:rPr>
          <w:sz w:val="24"/>
          <w:szCs w:val="24"/>
          <w:lang w:eastAsia="ar-SA"/>
        </w:rPr>
        <w:t>лей</w:t>
      </w:r>
      <w:r w:rsidRPr="00DE6587">
        <w:rPr>
          <w:sz w:val="24"/>
          <w:szCs w:val="24"/>
          <w:lang w:eastAsia="ar-SA"/>
        </w:rPr>
        <w:t xml:space="preserve"> (</w:t>
      </w:r>
      <w:r>
        <w:rPr>
          <w:sz w:val="24"/>
          <w:szCs w:val="24"/>
          <w:lang w:eastAsia="ar-SA"/>
        </w:rPr>
        <w:t>100,0</w:t>
      </w:r>
      <w:r w:rsidRPr="00DE6587">
        <w:rPr>
          <w:sz w:val="24"/>
          <w:szCs w:val="24"/>
          <w:lang w:eastAsia="ar-SA"/>
        </w:rPr>
        <w:t>%);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Pr="00DE6587">
        <w:rPr>
          <w:sz w:val="24"/>
          <w:szCs w:val="24"/>
          <w:lang w:eastAsia="ar-SA"/>
        </w:rPr>
        <w:t xml:space="preserve">социально-культурная сфера (образование, культура, социальная политика, физическая культура и спорт) – </w:t>
      </w:r>
      <w:r>
        <w:rPr>
          <w:sz w:val="24"/>
          <w:szCs w:val="24"/>
          <w:lang w:eastAsia="ar-SA"/>
        </w:rPr>
        <w:t>1 778,4 млн. рублей (+ 11,3%);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средства массовой информации – 3,9 млн. рублей (-3,6%);</w:t>
      </w:r>
    </w:p>
    <w:p w:rsidR="00211E4E" w:rsidRPr="00DE6587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 на обслуживание муниципального долга – 168,4 млн. рублей (-19,5%) за счёт замещения кредитов кредитных организаций бюджетными кредитами, досрочным погашением кредитов, иных мер по снижению расходов на обслуживание муниципального долга.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Согласно рейтингу городских округов Самарской области за январь-июнь 2019 года в сравнении с соответствующим периодом прошлого года городской округ Тольятти по показателям: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«Бюджетная обеспеченность за счет налоговых и неналоговых доходов на душу </w:t>
      </w:r>
      <w:r>
        <w:rPr>
          <w:sz w:val="24"/>
          <w:szCs w:val="24"/>
          <w:lang w:eastAsia="ar-SA"/>
        </w:rPr>
        <w:lastRenderedPageBreak/>
        <w:t>населения» - на 4-ом месте (как и в прошлом году) среди 10-ти городских округов со значением показателя 4 232 рублей (в среднем по области – 4 795 рублей);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«Бюджетная обеспеченность с учётом безвозмездных перечислений на душу населения, рублей» - снизился со 2-го места на 3-е место со значением 8 246 рублей (в среднем по области – 8 872 рубля).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9003E4">
        <w:rPr>
          <w:sz w:val="24"/>
          <w:szCs w:val="24"/>
          <w:lang w:eastAsia="ar-SA"/>
        </w:rPr>
        <w:t>Оценка на конец 201</w:t>
      </w:r>
      <w:r>
        <w:rPr>
          <w:sz w:val="24"/>
          <w:szCs w:val="24"/>
          <w:lang w:eastAsia="ar-SA"/>
        </w:rPr>
        <w:t>9</w:t>
      </w:r>
      <w:r w:rsidRPr="009003E4">
        <w:rPr>
          <w:sz w:val="24"/>
          <w:szCs w:val="24"/>
          <w:lang w:eastAsia="ar-SA"/>
        </w:rPr>
        <w:t xml:space="preserve"> года ожидаемых значений финансовых показателей произведена на основании полугодовых статистических и налоговых данных, данных крупнейших </w:t>
      </w:r>
      <w:r>
        <w:rPr>
          <w:sz w:val="24"/>
          <w:szCs w:val="24"/>
          <w:lang w:eastAsia="ar-SA"/>
        </w:rPr>
        <w:t xml:space="preserve">химических </w:t>
      </w:r>
      <w:r w:rsidRPr="009003E4">
        <w:rPr>
          <w:sz w:val="24"/>
          <w:szCs w:val="24"/>
          <w:lang w:eastAsia="ar-SA"/>
        </w:rPr>
        <w:t xml:space="preserve">предприятий города, данных о доходах и расходах бюджета городского округа </w:t>
      </w:r>
      <w:r>
        <w:rPr>
          <w:sz w:val="24"/>
          <w:szCs w:val="24"/>
          <w:lang w:eastAsia="ar-SA"/>
        </w:rPr>
        <w:t xml:space="preserve">Тольятти </w:t>
      </w:r>
      <w:r w:rsidRPr="009003E4">
        <w:rPr>
          <w:sz w:val="24"/>
          <w:szCs w:val="24"/>
          <w:lang w:eastAsia="ar-SA"/>
        </w:rPr>
        <w:t>решения Дум</w:t>
      </w:r>
      <w:r>
        <w:rPr>
          <w:sz w:val="24"/>
          <w:szCs w:val="24"/>
          <w:lang w:eastAsia="ar-SA"/>
        </w:rPr>
        <w:t>ы городского округа Тольятти № 332</w:t>
      </w:r>
      <w:r w:rsidRPr="009003E4">
        <w:rPr>
          <w:sz w:val="24"/>
          <w:szCs w:val="24"/>
          <w:lang w:eastAsia="ar-SA"/>
        </w:rPr>
        <w:t xml:space="preserve"> от </w:t>
      </w:r>
      <w:r>
        <w:rPr>
          <w:sz w:val="24"/>
          <w:szCs w:val="24"/>
          <w:lang w:eastAsia="ar-SA"/>
        </w:rPr>
        <w:t>14</w:t>
      </w:r>
      <w:r w:rsidRPr="009003E4">
        <w:rPr>
          <w:sz w:val="24"/>
          <w:szCs w:val="24"/>
          <w:lang w:eastAsia="ar-SA"/>
        </w:rPr>
        <w:t>.08.201</w:t>
      </w:r>
      <w:r>
        <w:rPr>
          <w:sz w:val="24"/>
          <w:szCs w:val="24"/>
          <w:lang w:eastAsia="ar-SA"/>
        </w:rPr>
        <w:t>8</w:t>
      </w:r>
      <w:r w:rsidRPr="009003E4">
        <w:rPr>
          <w:sz w:val="24"/>
          <w:szCs w:val="24"/>
          <w:lang w:eastAsia="ar-SA"/>
        </w:rPr>
        <w:t xml:space="preserve"> «</w:t>
      </w:r>
      <w:r w:rsidRPr="009D2B28">
        <w:rPr>
          <w:sz w:val="24"/>
          <w:szCs w:val="24"/>
          <w:lang w:eastAsia="ar-SA"/>
        </w:rPr>
        <w:t>О внесении изменений в решение Думы городского округа Тольятти от 11.12.2018 № 88 «О бюджете городского округа Тольятти на 2019 год и плановый период 2020 и 2021 годов»</w:t>
      </w:r>
      <w:r>
        <w:rPr>
          <w:sz w:val="24"/>
          <w:szCs w:val="24"/>
          <w:lang w:eastAsia="ar-SA"/>
        </w:rPr>
        <w:t>.</w:t>
      </w:r>
    </w:p>
    <w:p w:rsidR="00211E4E" w:rsidRPr="00EB31B0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EB31B0">
        <w:rPr>
          <w:sz w:val="24"/>
          <w:szCs w:val="24"/>
          <w:lang w:eastAsia="ar-SA"/>
        </w:rPr>
        <w:t xml:space="preserve">Ожидается, что к концу 2019 года прибыль прибыльных организаций снизит темп роста до </w:t>
      </w:r>
      <w:r w:rsidRPr="00663B2C">
        <w:rPr>
          <w:sz w:val="24"/>
          <w:szCs w:val="24"/>
          <w:lang w:eastAsia="ar-SA"/>
        </w:rPr>
        <w:t>108,9%, её объём оценочно составит 33 708</w:t>
      </w:r>
      <w:r w:rsidRPr="00EB31B0">
        <w:rPr>
          <w:sz w:val="24"/>
          <w:szCs w:val="24"/>
          <w:lang w:eastAsia="ar-SA"/>
        </w:rPr>
        <w:t xml:space="preserve"> млн. рублей, с учётом оценочных данных за 2019 год крупнейших химических производств, фактических темпов роста прибыли в производстве автотранспортных средств (168,4%) и других видах экономической деятельности (109,9%) за </w:t>
      </w:r>
      <w:r>
        <w:rPr>
          <w:sz w:val="24"/>
          <w:szCs w:val="24"/>
          <w:lang w:eastAsia="ar-SA"/>
        </w:rPr>
        <w:t>1</w:t>
      </w:r>
      <w:r w:rsidRPr="00EB31B0">
        <w:rPr>
          <w:sz w:val="24"/>
          <w:szCs w:val="24"/>
          <w:lang w:eastAsia="ar-SA"/>
        </w:rPr>
        <w:t xml:space="preserve"> полугодие 2019 года.  </w:t>
      </w:r>
    </w:p>
    <w:p w:rsidR="00211E4E" w:rsidRPr="00EB31B0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EB31B0">
        <w:rPr>
          <w:sz w:val="24"/>
          <w:szCs w:val="24"/>
          <w:lang w:eastAsia="ar-SA"/>
        </w:rPr>
        <w:t xml:space="preserve">Амортизационные отчисления на полное восстановление основных средств организаций, исключая малые организации, составят оценочно </w:t>
      </w:r>
      <w:r>
        <w:rPr>
          <w:sz w:val="24"/>
          <w:szCs w:val="24"/>
          <w:lang w:eastAsia="ar-SA"/>
        </w:rPr>
        <w:t>26 785</w:t>
      </w:r>
      <w:r w:rsidRPr="00EB31B0">
        <w:rPr>
          <w:sz w:val="24"/>
          <w:szCs w:val="24"/>
          <w:lang w:eastAsia="ar-SA"/>
        </w:rPr>
        <w:t xml:space="preserve"> млн. рублей </w:t>
      </w:r>
      <w:r w:rsidRPr="00663B2C">
        <w:rPr>
          <w:sz w:val="24"/>
          <w:szCs w:val="24"/>
          <w:lang w:eastAsia="ar-SA"/>
        </w:rPr>
        <w:t>(+4,4%</w:t>
      </w:r>
      <w:r w:rsidRPr="00EB31B0">
        <w:rPr>
          <w:sz w:val="24"/>
          <w:szCs w:val="24"/>
          <w:lang w:eastAsia="ar-SA"/>
        </w:rPr>
        <w:t xml:space="preserve"> к уровню 2018 года в соответствии с индексом физического объёма инвестиций в основной капитал).</w:t>
      </w:r>
    </w:p>
    <w:p w:rsidR="00211E4E" w:rsidRPr="00EB31B0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EB31B0">
        <w:rPr>
          <w:sz w:val="24"/>
          <w:szCs w:val="24"/>
          <w:lang w:eastAsia="ar-SA"/>
        </w:rPr>
        <w:t>Налоговые доходы оценочно вырастут на 10,</w:t>
      </w:r>
      <w:r w:rsidR="00D33AB6">
        <w:rPr>
          <w:sz w:val="24"/>
          <w:szCs w:val="24"/>
          <w:lang w:eastAsia="ar-SA"/>
        </w:rPr>
        <w:t>5</w:t>
      </w:r>
      <w:r w:rsidRPr="00EB31B0">
        <w:rPr>
          <w:sz w:val="24"/>
          <w:szCs w:val="24"/>
          <w:lang w:eastAsia="ar-SA"/>
        </w:rPr>
        <w:t>% и составят 41 </w:t>
      </w:r>
      <w:r w:rsidR="00D33AB6">
        <w:rPr>
          <w:sz w:val="24"/>
          <w:szCs w:val="24"/>
          <w:lang w:eastAsia="ar-SA"/>
        </w:rPr>
        <w:t>785</w:t>
      </w:r>
      <w:r w:rsidRPr="00EB31B0">
        <w:rPr>
          <w:sz w:val="24"/>
          <w:szCs w:val="24"/>
          <w:lang w:eastAsia="ar-SA"/>
        </w:rPr>
        <w:t xml:space="preserve"> млн. рублей с учетом фактических полугодовых значений и ожидаемых поступлений во втором полугодии текущего года, в том числе по основным видам налогов: </w:t>
      </w:r>
    </w:p>
    <w:p w:rsidR="00211E4E" w:rsidRPr="00EB31B0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EB31B0">
        <w:rPr>
          <w:sz w:val="24"/>
          <w:szCs w:val="24"/>
          <w:lang w:eastAsia="ar-SA"/>
        </w:rPr>
        <w:t xml:space="preserve">- налоги на прибыль, доходы (налог на прибыль организаций, НДФЛ): рост на 7,3% до 24 025 млн. рублей; </w:t>
      </w:r>
    </w:p>
    <w:p w:rsidR="00211E4E" w:rsidRPr="00EB31B0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EB31B0">
        <w:rPr>
          <w:sz w:val="24"/>
          <w:szCs w:val="24"/>
          <w:lang w:eastAsia="ar-SA"/>
        </w:rPr>
        <w:t>- налоги на товары (работы, услуги) (НДС и акцизы): рост на 30,3% до 10 641 млн. рублей;</w:t>
      </w:r>
    </w:p>
    <w:p w:rsidR="00211E4E" w:rsidRPr="00EB31B0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EB31B0">
        <w:rPr>
          <w:sz w:val="24"/>
          <w:szCs w:val="24"/>
          <w:lang w:eastAsia="ar-SA"/>
        </w:rPr>
        <w:t xml:space="preserve">- налоги на совокупный доход (поступления по специальным налоговым режимам для субъектов малого предпринимательства (УСН, ЕНВД, патентная система налогообложения) и единый сельскохозяйственный налог): рост на 10,7% до 1 822 млн. рублей, в основном за счет УСН; </w:t>
      </w:r>
    </w:p>
    <w:p w:rsidR="00211E4E" w:rsidRPr="00EB31B0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EB31B0">
        <w:rPr>
          <w:sz w:val="24"/>
          <w:szCs w:val="24"/>
          <w:lang w:eastAsia="ar-SA"/>
        </w:rPr>
        <w:t>- налоги на имущество (налог на имущества организаций; транспортный налог, земельный налог; НИФЛ) – снижение на 5,</w:t>
      </w:r>
      <w:r w:rsidR="00D33AB6">
        <w:rPr>
          <w:sz w:val="24"/>
          <w:szCs w:val="24"/>
          <w:lang w:eastAsia="ar-SA"/>
        </w:rPr>
        <w:t>9</w:t>
      </w:r>
      <w:r w:rsidRPr="00EB31B0">
        <w:rPr>
          <w:sz w:val="24"/>
          <w:szCs w:val="24"/>
          <w:lang w:eastAsia="ar-SA"/>
        </w:rPr>
        <w:t>% до 50</w:t>
      </w:r>
      <w:r w:rsidR="00D33AB6">
        <w:rPr>
          <w:sz w:val="24"/>
          <w:szCs w:val="24"/>
          <w:lang w:eastAsia="ar-SA"/>
        </w:rPr>
        <w:t>19</w:t>
      </w:r>
      <w:r w:rsidRPr="00EB31B0">
        <w:rPr>
          <w:sz w:val="24"/>
          <w:szCs w:val="24"/>
          <w:lang w:eastAsia="ar-SA"/>
        </w:rPr>
        <w:t xml:space="preserve"> млн. рублей, </w:t>
      </w:r>
      <w:r w:rsidR="00D33AB6">
        <w:rPr>
          <w:sz w:val="24"/>
          <w:szCs w:val="24"/>
          <w:lang w:eastAsia="ar-SA"/>
        </w:rPr>
        <w:t xml:space="preserve">в основном, </w:t>
      </w:r>
      <w:r w:rsidRPr="00EB31B0">
        <w:rPr>
          <w:sz w:val="24"/>
          <w:szCs w:val="24"/>
          <w:lang w:eastAsia="ar-SA"/>
        </w:rPr>
        <w:t xml:space="preserve">за счёт ожидаемого сокращения на 11,6% поступлений в областной бюджет налога на имущество организаций в связи с исключением с 01.01.2019 из статьи 374 «Объект налогообложения» Налогового кодекса Российской Федерации, движимого имущество организаций; </w:t>
      </w:r>
    </w:p>
    <w:p w:rsidR="00211E4E" w:rsidRPr="00EB31B0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EB31B0">
        <w:rPr>
          <w:sz w:val="24"/>
          <w:szCs w:val="24"/>
          <w:lang w:eastAsia="ar-SA"/>
        </w:rPr>
        <w:t>- налоги, сборы за пользование природными ресурсами и прочие налоговые доходы: снижение на 0,7% до 279 млн. рублей, в основном, за счёт прочих налоговых поступлений.</w:t>
      </w:r>
    </w:p>
    <w:p w:rsidR="00211E4E" w:rsidRPr="00EB31B0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EB31B0">
        <w:rPr>
          <w:sz w:val="24"/>
          <w:szCs w:val="24"/>
          <w:lang w:eastAsia="ar-SA"/>
        </w:rPr>
        <w:t xml:space="preserve">Неналоговые доходы местного бюджета в 2019 году по оценке составят </w:t>
      </w:r>
      <w:r>
        <w:rPr>
          <w:sz w:val="24"/>
          <w:szCs w:val="24"/>
          <w:lang w:eastAsia="ar-SA"/>
        </w:rPr>
        <w:t>926 </w:t>
      </w:r>
      <w:r w:rsidRPr="00EB31B0">
        <w:rPr>
          <w:sz w:val="24"/>
          <w:szCs w:val="24"/>
          <w:lang w:eastAsia="ar-SA"/>
        </w:rPr>
        <w:t>млн. руб</w:t>
      </w:r>
      <w:r>
        <w:rPr>
          <w:sz w:val="24"/>
          <w:szCs w:val="24"/>
          <w:lang w:eastAsia="ar-SA"/>
        </w:rPr>
        <w:t>лей</w:t>
      </w:r>
      <w:r w:rsidRPr="00EB31B0">
        <w:rPr>
          <w:sz w:val="24"/>
          <w:szCs w:val="24"/>
          <w:lang w:eastAsia="ar-SA"/>
        </w:rPr>
        <w:t xml:space="preserve"> при снижении на </w:t>
      </w:r>
      <w:r>
        <w:rPr>
          <w:sz w:val="24"/>
          <w:szCs w:val="24"/>
          <w:lang w:eastAsia="ar-SA"/>
        </w:rPr>
        <w:t>7,5</w:t>
      </w:r>
      <w:r w:rsidRPr="00EB31B0">
        <w:rPr>
          <w:sz w:val="24"/>
          <w:szCs w:val="24"/>
          <w:lang w:eastAsia="ar-SA"/>
        </w:rPr>
        <w:t xml:space="preserve">% относительно уровня 2018 года, из них: доходы от использования имущества, находящегося в муниципальной собственности – </w:t>
      </w:r>
      <w:r>
        <w:rPr>
          <w:sz w:val="24"/>
          <w:szCs w:val="24"/>
          <w:lang w:eastAsia="ar-SA"/>
        </w:rPr>
        <w:t>613</w:t>
      </w:r>
      <w:r w:rsidRPr="00EB31B0">
        <w:rPr>
          <w:sz w:val="24"/>
          <w:szCs w:val="24"/>
          <w:lang w:eastAsia="ar-SA"/>
        </w:rPr>
        <w:t xml:space="preserve"> млн. руб</w:t>
      </w:r>
      <w:r>
        <w:rPr>
          <w:sz w:val="24"/>
          <w:szCs w:val="24"/>
          <w:lang w:eastAsia="ar-SA"/>
        </w:rPr>
        <w:t>лей</w:t>
      </w:r>
      <w:r w:rsidRPr="00EB31B0">
        <w:rPr>
          <w:sz w:val="24"/>
          <w:szCs w:val="24"/>
          <w:lang w:eastAsia="ar-SA"/>
        </w:rPr>
        <w:t xml:space="preserve"> (-</w:t>
      </w:r>
      <w:r>
        <w:rPr>
          <w:sz w:val="24"/>
          <w:szCs w:val="24"/>
          <w:lang w:eastAsia="ar-SA"/>
        </w:rPr>
        <w:t>9,0</w:t>
      </w:r>
      <w:r w:rsidRPr="00EB31B0">
        <w:rPr>
          <w:sz w:val="24"/>
          <w:szCs w:val="24"/>
          <w:lang w:eastAsia="ar-SA"/>
        </w:rPr>
        <w:t xml:space="preserve">% от уровня 2018 года). </w:t>
      </w:r>
    </w:p>
    <w:p w:rsidR="00211E4E" w:rsidRPr="00EB31B0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EB31B0">
        <w:rPr>
          <w:sz w:val="24"/>
          <w:szCs w:val="24"/>
          <w:lang w:eastAsia="ar-SA"/>
        </w:rPr>
        <w:t xml:space="preserve">Страховые взносы в государственные внебюджетные фонды, по оценке, составят </w:t>
      </w:r>
      <w:r>
        <w:rPr>
          <w:sz w:val="24"/>
          <w:szCs w:val="24"/>
          <w:lang w:eastAsia="ar-SA"/>
        </w:rPr>
        <w:t>28838</w:t>
      </w:r>
      <w:r w:rsidRPr="00EB31B0">
        <w:rPr>
          <w:sz w:val="24"/>
          <w:szCs w:val="24"/>
          <w:lang w:eastAsia="ar-SA"/>
        </w:rPr>
        <w:t xml:space="preserve"> млн. руб</w:t>
      </w:r>
      <w:r>
        <w:rPr>
          <w:sz w:val="24"/>
          <w:szCs w:val="24"/>
          <w:lang w:eastAsia="ar-SA"/>
        </w:rPr>
        <w:t>лей</w:t>
      </w:r>
      <w:r w:rsidRPr="00EB31B0">
        <w:rPr>
          <w:sz w:val="24"/>
          <w:szCs w:val="24"/>
          <w:lang w:eastAsia="ar-SA"/>
        </w:rPr>
        <w:t xml:space="preserve">, что </w:t>
      </w:r>
      <w:r w:rsidRPr="00663B2C">
        <w:rPr>
          <w:sz w:val="24"/>
          <w:szCs w:val="24"/>
          <w:lang w:eastAsia="ar-SA"/>
        </w:rPr>
        <w:t>на 6,0</w:t>
      </w:r>
      <w:r w:rsidRPr="00EB31B0">
        <w:rPr>
          <w:sz w:val="24"/>
          <w:szCs w:val="24"/>
          <w:lang w:eastAsia="ar-SA"/>
        </w:rPr>
        <w:t xml:space="preserve">% больше, чем в 2018 году за счет роста фонда оплаты труда </w:t>
      </w:r>
      <w:r w:rsidRPr="00EB31B0">
        <w:rPr>
          <w:sz w:val="24"/>
          <w:szCs w:val="24"/>
          <w:lang w:eastAsia="ar-SA"/>
        </w:rPr>
        <w:lastRenderedPageBreak/>
        <w:t>работников организаций городского округа</w:t>
      </w:r>
      <w:r>
        <w:rPr>
          <w:sz w:val="24"/>
          <w:szCs w:val="24"/>
          <w:lang w:eastAsia="ar-SA"/>
        </w:rPr>
        <w:t xml:space="preserve"> Тольятти</w:t>
      </w:r>
      <w:r w:rsidRPr="00EB31B0">
        <w:rPr>
          <w:sz w:val="24"/>
          <w:szCs w:val="24"/>
          <w:lang w:eastAsia="ar-SA"/>
        </w:rPr>
        <w:t>. При этом</w:t>
      </w:r>
      <w:r>
        <w:rPr>
          <w:sz w:val="24"/>
          <w:szCs w:val="24"/>
          <w:lang w:eastAsia="ar-SA"/>
        </w:rPr>
        <w:t>,</w:t>
      </w:r>
      <w:r w:rsidRPr="00EB31B0">
        <w:rPr>
          <w:sz w:val="24"/>
          <w:szCs w:val="24"/>
          <w:lang w:eastAsia="ar-SA"/>
        </w:rPr>
        <w:t xml:space="preserve"> расходы государственных внебюджетных фондов на выплату пенсий и пособий жителям городского округа </w:t>
      </w:r>
      <w:r>
        <w:rPr>
          <w:sz w:val="24"/>
          <w:szCs w:val="24"/>
          <w:lang w:eastAsia="ar-SA"/>
        </w:rPr>
        <w:t xml:space="preserve">Тольятти </w:t>
      </w:r>
      <w:r w:rsidRPr="00EB31B0">
        <w:rPr>
          <w:sz w:val="24"/>
          <w:szCs w:val="24"/>
          <w:lang w:eastAsia="ar-SA"/>
        </w:rPr>
        <w:t xml:space="preserve">составят оценочно </w:t>
      </w:r>
      <w:r w:rsidRPr="005375B8">
        <w:rPr>
          <w:sz w:val="24"/>
          <w:szCs w:val="24"/>
          <w:lang w:eastAsia="ar-SA"/>
        </w:rPr>
        <w:t>49 682 млн. рублей (+6,3%), что на 20 844 млн. рублей больше доходной части.</w:t>
      </w:r>
    </w:p>
    <w:p w:rsidR="00211E4E" w:rsidRPr="009003E4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EB31B0">
        <w:rPr>
          <w:sz w:val="24"/>
          <w:szCs w:val="24"/>
          <w:lang w:eastAsia="ar-SA"/>
        </w:rPr>
        <w:t>Расходы за счет средств, остающихся в распоряжении организаций (сумма прибыли прибыльных организаций до налогообложения (по РСБУ), за исключением налога на прибыль, и амортизационных отчислений на полное восстановление основных средств) составят 49 269 млн. руб</w:t>
      </w:r>
      <w:r>
        <w:rPr>
          <w:sz w:val="24"/>
          <w:szCs w:val="24"/>
          <w:lang w:eastAsia="ar-SA"/>
        </w:rPr>
        <w:t>лей</w:t>
      </w:r>
      <w:r w:rsidRPr="00EB31B0">
        <w:rPr>
          <w:sz w:val="24"/>
          <w:szCs w:val="24"/>
          <w:lang w:eastAsia="ar-SA"/>
        </w:rPr>
        <w:t>, что на 6,4% больше, чем в 2018 году, как за счет роста прибыли прибыльных организаций, так и амортизационных отчислений.</w:t>
      </w:r>
    </w:p>
    <w:p w:rsidR="00211E4E" w:rsidRDefault="00211E4E" w:rsidP="00211E4E">
      <w:pPr>
        <w:pStyle w:val="af0"/>
        <w:spacing w:line="276" w:lineRule="auto"/>
        <w:ind w:firstLine="709"/>
        <w:rPr>
          <w:szCs w:val="24"/>
        </w:rPr>
      </w:pPr>
    </w:p>
    <w:p w:rsidR="00211E4E" w:rsidRDefault="00211E4E" w:rsidP="00211E4E">
      <w:pPr>
        <w:pStyle w:val="af0"/>
        <w:spacing w:line="276" w:lineRule="auto"/>
        <w:jc w:val="center"/>
        <w:rPr>
          <w:szCs w:val="24"/>
        </w:rPr>
      </w:pPr>
      <w:r>
        <w:rPr>
          <w:szCs w:val="24"/>
        </w:rPr>
        <w:t>Ож</w:t>
      </w:r>
      <w:r w:rsidRPr="00846D11">
        <w:rPr>
          <w:szCs w:val="24"/>
        </w:rPr>
        <w:t>идаемое выполнение показателей</w:t>
      </w:r>
      <w:r>
        <w:rPr>
          <w:szCs w:val="24"/>
        </w:rPr>
        <w:t xml:space="preserve"> по разделу «Финансы» </w:t>
      </w:r>
      <w:r w:rsidRPr="00846D11">
        <w:rPr>
          <w:szCs w:val="24"/>
        </w:rPr>
        <w:t>на 201</w:t>
      </w:r>
      <w:r>
        <w:rPr>
          <w:szCs w:val="24"/>
        </w:rPr>
        <w:t xml:space="preserve">9 </w:t>
      </w:r>
      <w:r w:rsidRPr="00846D11">
        <w:rPr>
          <w:szCs w:val="24"/>
        </w:rPr>
        <w:t>год</w:t>
      </w:r>
    </w:p>
    <w:p w:rsidR="005D0850" w:rsidRDefault="005D0850" w:rsidP="00211E4E">
      <w:pPr>
        <w:pStyle w:val="af0"/>
        <w:spacing w:line="276" w:lineRule="auto"/>
        <w:jc w:val="center"/>
        <w:rPr>
          <w:szCs w:val="24"/>
        </w:rPr>
      </w:pPr>
    </w:p>
    <w:tbl>
      <w:tblPr>
        <w:tblW w:w="9252" w:type="dxa"/>
        <w:tblInd w:w="93" w:type="dxa"/>
        <w:tblLook w:val="00A0" w:firstRow="1" w:lastRow="0" w:firstColumn="1" w:lastColumn="0" w:noHBand="0" w:noVBand="0"/>
      </w:tblPr>
      <w:tblGrid>
        <w:gridCol w:w="2754"/>
        <w:gridCol w:w="1453"/>
        <w:gridCol w:w="1333"/>
        <w:gridCol w:w="1234"/>
        <w:gridCol w:w="1235"/>
        <w:gridCol w:w="1243"/>
      </w:tblGrid>
      <w:tr w:rsidR="00211E4E" w:rsidRPr="00907F0B" w:rsidTr="00196C5D">
        <w:trPr>
          <w:trHeight w:val="491"/>
          <w:tblHeader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546FC">
              <w:rPr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546FC">
              <w:rPr>
                <w:bCs/>
                <w:sz w:val="24"/>
                <w:szCs w:val="24"/>
                <w:lang w:eastAsia="ru-RU"/>
              </w:rPr>
              <w:t>Ед</w:t>
            </w:r>
            <w:r>
              <w:rPr>
                <w:bCs/>
                <w:sz w:val="24"/>
                <w:szCs w:val="24"/>
                <w:lang w:eastAsia="ru-RU"/>
              </w:rPr>
              <w:t xml:space="preserve">иница </w:t>
            </w:r>
            <w:r w:rsidRPr="002546FC">
              <w:rPr>
                <w:bCs/>
                <w:sz w:val="24"/>
                <w:szCs w:val="24"/>
                <w:lang w:eastAsia="ru-RU"/>
              </w:rPr>
              <w:t>изм</w:t>
            </w:r>
            <w:r>
              <w:rPr>
                <w:bCs/>
                <w:sz w:val="24"/>
                <w:szCs w:val="24"/>
                <w:lang w:eastAsia="ru-RU"/>
              </w:rPr>
              <w:t>ерения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11E4E" w:rsidRPr="00066E74" w:rsidRDefault="00211E4E" w:rsidP="00196C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 xml:space="preserve">Прогноз </w:t>
            </w:r>
            <w:r>
              <w:rPr>
                <w:sz w:val="24"/>
                <w:szCs w:val="24"/>
              </w:rPr>
              <w:t xml:space="preserve">на </w:t>
            </w:r>
            <w:r w:rsidRPr="00066E7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66E7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211E4E" w:rsidRPr="00066E74" w:rsidRDefault="00211E4E" w:rsidP="00196C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6E7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66E7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 (оценка)</w:t>
            </w:r>
          </w:p>
        </w:tc>
      </w:tr>
      <w:tr w:rsidR="00211E4E" w:rsidRPr="00907F0B" w:rsidTr="00196C5D">
        <w:trPr>
          <w:trHeight w:val="407"/>
          <w:tblHeader/>
        </w:trPr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546FC">
              <w:rPr>
                <w:bCs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546FC">
              <w:rPr>
                <w:bCs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11E4E" w:rsidRPr="005071B1" w:rsidRDefault="00211E4E" w:rsidP="00196C5D">
            <w:pPr>
              <w:suppressAutoHyphens w:val="0"/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 w:rsidRPr="005071B1">
              <w:rPr>
                <w:bCs/>
                <w:sz w:val="24"/>
                <w:szCs w:val="24"/>
                <w:lang w:eastAsia="ru-RU"/>
              </w:rPr>
              <w:t xml:space="preserve">3 </w:t>
            </w:r>
            <w:r>
              <w:rPr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11E4E" w:rsidRPr="002546FC" w:rsidRDefault="00211E4E" w:rsidP="00196C5D">
            <w:pPr>
              <w:suppressAutoHyphens w:val="0"/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1E4E" w:rsidRPr="00907F0B" w:rsidTr="00196C5D">
        <w:trPr>
          <w:trHeight w:val="255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E4E" w:rsidRPr="002546FC" w:rsidRDefault="00211E4E" w:rsidP="00196C5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Прибыль прибыльных организаций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млн.</w:t>
            </w:r>
            <w:r>
              <w:rPr>
                <w:sz w:val="24"/>
                <w:szCs w:val="24"/>
                <w:lang w:eastAsia="ru-RU"/>
              </w:rPr>
              <w:t> рублей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19 403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19 886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20 292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33 708</w:t>
            </w:r>
          </w:p>
        </w:tc>
      </w:tr>
      <w:tr w:rsidR="00211E4E" w:rsidRPr="00907F0B" w:rsidTr="00196C5D">
        <w:trPr>
          <w:trHeight w:val="255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E4E" w:rsidRPr="002546FC" w:rsidRDefault="00211E4E" w:rsidP="00196C5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Амортизационные отчисления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25 317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26 121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26 785</w:t>
            </w:r>
          </w:p>
        </w:tc>
      </w:tr>
      <w:tr w:rsidR="00211E4E" w:rsidRPr="00907F0B" w:rsidTr="00196C5D">
        <w:trPr>
          <w:trHeight w:val="255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E4E" w:rsidRPr="002546FC" w:rsidRDefault="00211E4E" w:rsidP="00196C5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Налоговые доходы, в том числе: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38 386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39 062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40 248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D33A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41 </w:t>
            </w:r>
            <w:r w:rsidR="00D33AB6">
              <w:rPr>
                <w:sz w:val="24"/>
                <w:szCs w:val="24"/>
                <w:lang w:eastAsia="ru-RU"/>
              </w:rPr>
              <w:t>785</w:t>
            </w:r>
          </w:p>
        </w:tc>
      </w:tr>
      <w:tr w:rsidR="00211E4E" w:rsidRPr="00907F0B" w:rsidTr="00196C5D">
        <w:trPr>
          <w:trHeight w:val="255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E4E" w:rsidRPr="002546FC" w:rsidRDefault="00211E4E" w:rsidP="00196C5D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 налоги на прибыль (доходы)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18 887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19 495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24 025</w:t>
            </w:r>
          </w:p>
        </w:tc>
      </w:tr>
      <w:tr w:rsidR="00211E4E" w:rsidRPr="00907F0B" w:rsidTr="00196C5D">
        <w:trPr>
          <w:trHeight w:val="255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E4E" w:rsidRDefault="00211E4E" w:rsidP="00196C5D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 налоги на товары (работы, услуги)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11 787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12 995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10 641</w:t>
            </w:r>
          </w:p>
        </w:tc>
      </w:tr>
      <w:tr w:rsidR="00211E4E" w:rsidRPr="00907F0B" w:rsidTr="00196C5D">
        <w:trPr>
          <w:trHeight w:val="255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E4E" w:rsidRPr="002546FC" w:rsidRDefault="00211E4E" w:rsidP="00196C5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 xml:space="preserve"> - налоги на совокупный доход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1 822</w:t>
            </w:r>
          </w:p>
        </w:tc>
      </w:tr>
      <w:tr w:rsidR="00211E4E" w:rsidRPr="00907F0B" w:rsidTr="00196C5D">
        <w:trPr>
          <w:trHeight w:val="255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E4E" w:rsidRPr="002546FC" w:rsidRDefault="00211E4E" w:rsidP="00196C5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 xml:space="preserve"> - налоги на имущество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A54B0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5 0</w:t>
            </w:r>
            <w:r w:rsidR="00A54B0D"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211E4E" w:rsidRPr="00907F0B" w:rsidTr="00196C5D">
        <w:trPr>
          <w:trHeight w:val="585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E4E" w:rsidRPr="002546FC" w:rsidRDefault="00211E4E" w:rsidP="00196C5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 xml:space="preserve"> - налоги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2546FC">
              <w:rPr>
                <w:sz w:val="24"/>
                <w:szCs w:val="24"/>
                <w:lang w:eastAsia="ru-RU"/>
              </w:rPr>
              <w:t xml:space="preserve"> сборы за пользование природ</w:t>
            </w:r>
            <w:r>
              <w:rPr>
                <w:sz w:val="24"/>
                <w:szCs w:val="24"/>
                <w:lang w:eastAsia="ru-RU"/>
              </w:rPr>
              <w:t>ными</w:t>
            </w:r>
            <w:r w:rsidRPr="002546FC">
              <w:rPr>
                <w:sz w:val="24"/>
                <w:szCs w:val="24"/>
                <w:lang w:eastAsia="ru-RU"/>
              </w:rPr>
              <w:t xml:space="preserve"> ресурсами</w:t>
            </w:r>
            <w:r>
              <w:rPr>
                <w:sz w:val="24"/>
                <w:szCs w:val="24"/>
                <w:lang w:eastAsia="ru-RU"/>
              </w:rPr>
              <w:t xml:space="preserve"> и прочие налоговые доходы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</w:t>
            </w:r>
          </w:p>
        </w:tc>
      </w:tr>
      <w:tr w:rsidR="00211E4E" w:rsidRPr="00907F0B" w:rsidTr="00196C5D">
        <w:trPr>
          <w:trHeight w:val="585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E4E" w:rsidRPr="002546FC" w:rsidRDefault="00211E4E" w:rsidP="00196C5D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 них: налоговые доходы местного бюджета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5 568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5 689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D33AB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</w:t>
            </w:r>
            <w:r w:rsidR="00D33AB6">
              <w:rPr>
                <w:sz w:val="24"/>
                <w:szCs w:val="24"/>
                <w:lang w:eastAsia="ru-RU"/>
              </w:rPr>
              <w:t>23</w:t>
            </w:r>
          </w:p>
        </w:tc>
      </w:tr>
      <w:tr w:rsidR="00211E4E" w:rsidRPr="00907F0B" w:rsidTr="00196C5D">
        <w:trPr>
          <w:trHeight w:val="255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E4E" w:rsidRPr="002546FC" w:rsidRDefault="00211E4E" w:rsidP="00196C5D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Неналоговые доходы местного бюджета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926</w:t>
            </w:r>
          </w:p>
        </w:tc>
      </w:tr>
      <w:tr w:rsidR="00211E4E" w:rsidRPr="00907F0B" w:rsidTr="00196C5D">
        <w:trPr>
          <w:trHeight w:val="570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E4E" w:rsidRPr="002546FC" w:rsidRDefault="00211E4E" w:rsidP="00196C5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Страховые взносы в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2546FC">
              <w:rPr>
                <w:sz w:val="24"/>
                <w:szCs w:val="24"/>
                <w:lang w:eastAsia="ru-RU"/>
              </w:rPr>
              <w:t xml:space="preserve"> внебюджетные фонды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27 366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27 785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28 838</w:t>
            </w:r>
          </w:p>
        </w:tc>
      </w:tr>
      <w:tr w:rsidR="00211E4E" w:rsidRPr="00907F0B" w:rsidTr="00196C5D">
        <w:trPr>
          <w:trHeight w:val="555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E4E" w:rsidRPr="002546FC" w:rsidRDefault="00211E4E" w:rsidP="00196C5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t>Расходы за счет средств, остающихся в распоряжении организаций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37 796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38 462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39 172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49 269</w:t>
            </w:r>
          </w:p>
        </w:tc>
      </w:tr>
      <w:tr w:rsidR="00211E4E" w:rsidRPr="00907F0B" w:rsidTr="00196C5D">
        <w:trPr>
          <w:trHeight w:val="555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E4E" w:rsidRPr="002546FC" w:rsidRDefault="00211E4E" w:rsidP="00196C5D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за счёт средств местного бюджета (без средств вышестоящих бюджетов)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млн. рублей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6 817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7 151</w:t>
            </w:r>
          </w:p>
        </w:tc>
      </w:tr>
      <w:tr w:rsidR="00211E4E" w:rsidRPr="00907F0B" w:rsidTr="00196C5D">
        <w:trPr>
          <w:trHeight w:val="570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E4E" w:rsidRPr="002546FC" w:rsidRDefault="00211E4E" w:rsidP="00196C5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546FC">
              <w:rPr>
                <w:sz w:val="24"/>
                <w:szCs w:val="24"/>
                <w:lang w:eastAsia="ru-RU"/>
              </w:rPr>
              <w:lastRenderedPageBreak/>
              <w:t>Расходы внебюджетных фондов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47 979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48 060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Pr="002546FC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48 145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E4E" w:rsidRDefault="00211E4E" w:rsidP="00196C5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49 682</w:t>
            </w:r>
          </w:p>
        </w:tc>
      </w:tr>
    </w:tbl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Необходимость изменения оценочных значений показателей на 2019 год по сравнению с прогнозными значениями показателей на 2019 год (рассчитаны в 2018 году по данным за январь-март и январь-июнь 2018 года), обусловлена, в основном, фактическими данными за 2018 год и 1 полугодие 2019 года, сложившимися в размере больше или меньше ожидаемого, в том числе:  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строка «Прибыль прибыльных организаций до налогообложения»: пересчитана в большую сторону с учётом фактических данных за 2018 год, сложившихся в размере значительно выше оценочных данных самих предприятий на 2018 год и прогнозных данных на 2019 год, в частности, за счёт благоприятной конъюнктуры на мировом химическом рынке и реализации крупных инвестиционных проектов крупнейшими химическими предприятиями;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строка «Амортизационные отчисления»: перерасчет произведен с учётом фактического темпа роста за 2018 год 143,0%, тогда как прогноз на 2019 год рассчитывался с применением индексов физического объёма инвестиций (105,2% по целевому варианту) согласно методике расчёта прогноза;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строка «Налоговые доходы, в том числе:» и строка «</w:t>
      </w:r>
      <w:r>
        <w:rPr>
          <w:sz w:val="24"/>
          <w:szCs w:val="24"/>
          <w:lang w:eastAsia="ar-SA"/>
        </w:rPr>
        <w:noBreakHyphen/>
        <w:t xml:space="preserve"> н</w:t>
      </w:r>
      <w:r w:rsidRPr="002546FC">
        <w:rPr>
          <w:sz w:val="24"/>
          <w:szCs w:val="24"/>
          <w:lang w:eastAsia="ru-RU"/>
        </w:rPr>
        <w:t xml:space="preserve">алоги на </w:t>
      </w:r>
      <w:r>
        <w:rPr>
          <w:sz w:val="24"/>
          <w:szCs w:val="24"/>
          <w:lang w:eastAsia="ru-RU"/>
        </w:rPr>
        <w:t>прибыль</w:t>
      </w:r>
      <w:r w:rsidRPr="002546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Pr="002546FC">
        <w:rPr>
          <w:sz w:val="24"/>
          <w:szCs w:val="24"/>
          <w:lang w:eastAsia="ru-RU"/>
        </w:rPr>
        <w:t>доход</w:t>
      </w:r>
      <w:r>
        <w:rPr>
          <w:sz w:val="24"/>
          <w:szCs w:val="24"/>
          <w:lang w:eastAsia="ru-RU"/>
        </w:rPr>
        <w:t>ы)»: пересчитана,</w:t>
      </w:r>
      <w:r>
        <w:rPr>
          <w:sz w:val="24"/>
          <w:szCs w:val="24"/>
          <w:lang w:eastAsia="ar-SA"/>
        </w:rPr>
        <w:t xml:space="preserve"> в основном, с учётом роста в 2018 году и 1 полугодии 2019 года поступлений налога на прибыль организаций в размерах больше прогнозируемых;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строка «- налоги на товары (работы, услуги)»: пересчитана в меньшую сторону в связи с более низкими фактическими объемами поступления НДС по сравнению с прогнозируемыми на 2019 год за счёт роста объёмов возмещения НДС по экспортным операциям (в основном, химическими экспортно-ориентированными предприятиями), а также уплаченных акцизов на бензолы и средние дестилляты, используемых далее в качестве сырья в химическом производстве;</w:t>
      </w:r>
    </w:p>
    <w:p w:rsidR="00211E4E" w:rsidRPr="00940799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строка «- налоги на совокупный доход»: перерасчет произведён, в основном, за счёт более высокого, по сравнению с прогнозным, роста поступлений УСН (+16,0% в 1 полугодии 2019 года) в связи с возрастающим переходом на иные специальные налоговые режимы для субъектов малого и среднего предпринимательства (УСН, «патент»): -11,6% в 1 полугодии 2019 года;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B66FC3">
        <w:rPr>
          <w:sz w:val="24"/>
          <w:szCs w:val="24"/>
          <w:lang w:eastAsia="ar-SA"/>
        </w:rPr>
        <w:t>- строка «</w:t>
      </w:r>
      <w:r>
        <w:rPr>
          <w:sz w:val="24"/>
          <w:szCs w:val="24"/>
          <w:lang w:eastAsia="ar-SA"/>
        </w:rPr>
        <w:t>- н</w:t>
      </w:r>
      <w:r w:rsidRPr="00B66FC3">
        <w:rPr>
          <w:sz w:val="24"/>
          <w:szCs w:val="24"/>
          <w:lang w:eastAsia="ar-SA"/>
        </w:rPr>
        <w:t>алоги на имущество»</w:t>
      </w:r>
      <w:r>
        <w:rPr>
          <w:sz w:val="24"/>
          <w:szCs w:val="24"/>
          <w:lang w:eastAsia="ar-SA"/>
        </w:rPr>
        <w:t>: пересчитана в меньшую сторону</w:t>
      </w:r>
      <w:r w:rsidR="00D33AB6">
        <w:rPr>
          <w:sz w:val="24"/>
          <w:szCs w:val="24"/>
          <w:lang w:eastAsia="ar-SA"/>
        </w:rPr>
        <w:t>, в основном,</w:t>
      </w:r>
      <w:r>
        <w:rPr>
          <w:sz w:val="24"/>
          <w:szCs w:val="24"/>
          <w:lang w:eastAsia="ar-SA"/>
        </w:rPr>
        <w:t xml:space="preserve"> в связи с</w:t>
      </w:r>
      <w:r w:rsidRPr="00940799">
        <w:rPr>
          <w:sz w:val="24"/>
          <w:szCs w:val="24"/>
          <w:lang w:eastAsia="ar-SA"/>
        </w:rPr>
        <w:t xml:space="preserve"> </w:t>
      </w:r>
      <w:r w:rsidRPr="00C93EB1">
        <w:rPr>
          <w:sz w:val="24"/>
          <w:szCs w:val="24"/>
          <w:lang w:eastAsia="ar-SA"/>
        </w:rPr>
        <w:t xml:space="preserve">исключением </w:t>
      </w:r>
      <w:r>
        <w:rPr>
          <w:sz w:val="24"/>
          <w:szCs w:val="24"/>
          <w:lang w:eastAsia="ar-SA"/>
        </w:rPr>
        <w:t xml:space="preserve">с 01.01.2019 </w:t>
      </w:r>
      <w:r w:rsidRPr="00C93EB1">
        <w:rPr>
          <w:sz w:val="24"/>
          <w:szCs w:val="24"/>
          <w:lang w:eastAsia="ar-SA"/>
        </w:rPr>
        <w:t>из статьи 374 «Объект налогообложения» Налогового кодекса Российской Федерации движимо</w:t>
      </w:r>
      <w:r>
        <w:rPr>
          <w:sz w:val="24"/>
          <w:szCs w:val="24"/>
          <w:lang w:eastAsia="ar-SA"/>
        </w:rPr>
        <w:t>го</w:t>
      </w:r>
      <w:r w:rsidRPr="00C93EB1">
        <w:rPr>
          <w:sz w:val="24"/>
          <w:szCs w:val="24"/>
          <w:lang w:eastAsia="ar-SA"/>
        </w:rPr>
        <w:t xml:space="preserve"> имущество организаций</w:t>
      </w:r>
      <w:r>
        <w:rPr>
          <w:sz w:val="24"/>
          <w:szCs w:val="24"/>
          <w:lang w:eastAsia="ar-SA"/>
        </w:rPr>
        <w:t xml:space="preserve"> (в 2018 году при прогнозировании поступлений налога на имущество организаций на 2019 год был применён</w:t>
      </w:r>
      <w:r w:rsidRPr="00B66FC3">
        <w:rPr>
          <w:sz w:val="24"/>
          <w:szCs w:val="24"/>
          <w:lang w:eastAsia="ar-SA"/>
        </w:rPr>
        <w:t xml:space="preserve"> прогнозны</w:t>
      </w:r>
      <w:r>
        <w:rPr>
          <w:sz w:val="24"/>
          <w:szCs w:val="24"/>
          <w:lang w:eastAsia="ar-SA"/>
        </w:rPr>
        <w:t>й</w:t>
      </w:r>
      <w:r w:rsidRPr="00B66FC3">
        <w:rPr>
          <w:sz w:val="24"/>
          <w:szCs w:val="24"/>
          <w:lang w:eastAsia="ar-SA"/>
        </w:rPr>
        <w:t xml:space="preserve"> индекс-дефлятор инвестиций</w:t>
      </w:r>
      <w:r>
        <w:rPr>
          <w:sz w:val="24"/>
          <w:szCs w:val="24"/>
          <w:lang w:eastAsia="ar-SA"/>
        </w:rPr>
        <w:t>);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строка «Из них: налоговые доходы местного бюджета»: пересчитана, в основном, за счёт переоценки в большую сторону поступлений в 2019 году НДФЛ, при этом поступления ЕНВД </w:t>
      </w:r>
      <w:r w:rsidR="00D33AB6">
        <w:rPr>
          <w:sz w:val="24"/>
          <w:szCs w:val="24"/>
          <w:lang w:eastAsia="ar-SA"/>
        </w:rPr>
        <w:t xml:space="preserve">и </w:t>
      </w:r>
      <w:r w:rsidR="00D33AB6" w:rsidRPr="007011AE">
        <w:rPr>
          <w:sz w:val="24"/>
          <w:szCs w:val="24"/>
          <w:lang w:eastAsia="ar-SA"/>
        </w:rPr>
        <w:t xml:space="preserve">НИФЛ </w:t>
      </w:r>
      <w:r w:rsidRPr="007011AE">
        <w:rPr>
          <w:sz w:val="24"/>
          <w:szCs w:val="24"/>
          <w:lang w:eastAsia="ar-SA"/>
        </w:rPr>
        <w:t>переоценены в меньшую сторону;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строка «Неналоговые доходы местного бюджета»: </w:t>
      </w:r>
      <w:r w:rsidR="00D33AB6">
        <w:rPr>
          <w:sz w:val="24"/>
          <w:szCs w:val="24"/>
          <w:lang w:eastAsia="ar-SA"/>
        </w:rPr>
        <w:t>перерасчёт произведен</w:t>
      </w:r>
      <w:r>
        <w:rPr>
          <w:sz w:val="24"/>
          <w:szCs w:val="24"/>
          <w:lang w:eastAsia="ar-SA"/>
        </w:rPr>
        <w:t>, в основном за счёт переоценки в большую сторону поступл</w:t>
      </w:r>
      <w:r w:rsidR="00912FEE">
        <w:rPr>
          <w:sz w:val="24"/>
          <w:szCs w:val="24"/>
          <w:lang w:eastAsia="ar-SA"/>
        </w:rPr>
        <w:t>ений прочих неналоговых доходов;</w:t>
      </w:r>
      <w:r>
        <w:rPr>
          <w:sz w:val="24"/>
          <w:szCs w:val="24"/>
          <w:lang w:eastAsia="ar-SA"/>
        </w:rPr>
        <w:t xml:space="preserve">      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ar-SA"/>
        </w:rPr>
        <w:t xml:space="preserve">-строка «Страховые </w:t>
      </w:r>
      <w:r w:rsidRPr="002546FC">
        <w:rPr>
          <w:sz w:val="24"/>
          <w:szCs w:val="24"/>
          <w:lang w:eastAsia="ru-RU"/>
        </w:rPr>
        <w:t>взносы в государственные внебюджетные фонды</w:t>
      </w:r>
      <w:r>
        <w:rPr>
          <w:sz w:val="24"/>
          <w:szCs w:val="24"/>
          <w:lang w:eastAsia="ru-RU"/>
        </w:rPr>
        <w:t xml:space="preserve">»: перерасчёт </w:t>
      </w:r>
      <w:r>
        <w:rPr>
          <w:sz w:val="24"/>
          <w:szCs w:val="24"/>
          <w:lang w:eastAsia="ru-RU"/>
        </w:rPr>
        <w:lastRenderedPageBreak/>
        <w:t>произведён в связи с более высоким, по сравнению с оценочным, фактическим значением показателя за 2018 год, чему способствовал рост эффективности администрирования поступлений страховых взносов, переданного с 2017 года от государственных внебюджетных фондов в Федеральную налоговую службу Российской Федерации;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ru-RU"/>
        </w:rPr>
        <w:t>- строка «Расходы за счёт средств, остающихся в распоряжении организаций: пересчитан в большую сторону, в основном, за счёт более высокой оценкой по сравнению с прогнозом на 2019 год, прибыли прибыльных организаций</w:t>
      </w:r>
      <w:r w:rsidRPr="00615DBC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 учётом фактических данных за 2018 год;</w:t>
      </w:r>
    </w:p>
    <w:p w:rsidR="00211E4E" w:rsidRDefault="00211E4E" w:rsidP="00211E4E">
      <w:pPr>
        <w:widowControl w:val="0"/>
        <w:spacing w:line="27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ar-SA"/>
        </w:rPr>
        <w:t>- строка «Расходы за счёт средств местного бюджета (без средств вышестоящих бюджетов)»: пересчитана, в основном, за счёт расходов на общегосударственные расходы;</w:t>
      </w:r>
    </w:p>
    <w:p w:rsidR="00211E4E" w:rsidRDefault="00211E4E" w:rsidP="00211E4E">
      <w:pPr>
        <w:widowControl w:val="0"/>
        <w:spacing w:line="276" w:lineRule="auto"/>
        <w:ind w:firstLine="709"/>
        <w:jc w:val="both"/>
      </w:pPr>
      <w:r>
        <w:rPr>
          <w:sz w:val="24"/>
          <w:szCs w:val="24"/>
          <w:lang w:eastAsia="ar-SA"/>
        </w:rPr>
        <w:t>- строка «</w:t>
      </w:r>
      <w:r w:rsidRPr="002546FC">
        <w:rPr>
          <w:sz w:val="24"/>
          <w:szCs w:val="24"/>
          <w:lang w:eastAsia="ar-SA"/>
        </w:rPr>
        <w:t>Расходы государственных внебюджетных фондов</w:t>
      </w:r>
      <w:r>
        <w:rPr>
          <w:sz w:val="24"/>
          <w:szCs w:val="24"/>
          <w:lang w:eastAsia="ar-SA"/>
        </w:rPr>
        <w:t xml:space="preserve">»: перерасчёт произведён, в основном, в связи с более высокой оценкой по сравнению с прогнозом на 2019 год с учётом фактических данных за 2018 год, а также ростом в 2019 году МРОТ при начислении пособий для </w:t>
      </w:r>
      <w:r w:rsidRPr="00F716E1">
        <w:rPr>
          <w:sz w:val="24"/>
          <w:szCs w:val="24"/>
          <w:lang w:eastAsia="ar-SA"/>
        </w:rPr>
        <w:t>целей обязательного социального страхования</w:t>
      </w:r>
      <w:r>
        <w:rPr>
          <w:sz w:val="24"/>
          <w:szCs w:val="24"/>
          <w:lang w:eastAsia="ar-SA"/>
        </w:rPr>
        <w:t xml:space="preserve"> (</w:t>
      </w:r>
      <w:r w:rsidRPr="002E77E2">
        <w:rPr>
          <w:sz w:val="24"/>
          <w:szCs w:val="24"/>
          <w:lang w:eastAsia="ar-SA"/>
        </w:rPr>
        <w:t>с 01.01.201</w:t>
      </w:r>
      <w:r>
        <w:rPr>
          <w:sz w:val="24"/>
          <w:szCs w:val="24"/>
          <w:lang w:eastAsia="ar-SA"/>
        </w:rPr>
        <w:t>8</w:t>
      </w:r>
      <w:r w:rsidRPr="002E77E2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–</w:t>
      </w:r>
      <w:r w:rsidRPr="002E77E2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9 489</w:t>
      </w:r>
      <w:r w:rsidRPr="002E77E2">
        <w:rPr>
          <w:sz w:val="24"/>
          <w:szCs w:val="24"/>
          <w:lang w:eastAsia="ar-SA"/>
        </w:rPr>
        <w:t xml:space="preserve"> руб</w:t>
      </w:r>
      <w:r>
        <w:rPr>
          <w:sz w:val="24"/>
          <w:szCs w:val="24"/>
          <w:lang w:eastAsia="ar-SA"/>
        </w:rPr>
        <w:t>лей</w:t>
      </w:r>
      <w:r w:rsidRPr="002E77E2">
        <w:rPr>
          <w:sz w:val="24"/>
          <w:szCs w:val="24"/>
          <w:lang w:eastAsia="ar-SA"/>
        </w:rPr>
        <w:t xml:space="preserve"> с 01.0</w:t>
      </w:r>
      <w:r>
        <w:rPr>
          <w:sz w:val="24"/>
          <w:szCs w:val="24"/>
          <w:lang w:eastAsia="ar-SA"/>
        </w:rPr>
        <w:t>5</w:t>
      </w:r>
      <w:r w:rsidRPr="002E77E2">
        <w:rPr>
          <w:sz w:val="24"/>
          <w:szCs w:val="24"/>
          <w:lang w:eastAsia="ar-SA"/>
        </w:rPr>
        <w:t>.201</w:t>
      </w:r>
      <w:r>
        <w:rPr>
          <w:sz w:val="24"/>
          <w:szCs w:val="24"/>
          <w:lang w:eastAsia="ar-SA"/>
        </w:rPr>
        <w:t>8</w:t>
      </w:r>
      <w:r w:rsidRPr="002E77E2">
        <w:rPr>
          <w:sz w:val="24"/>
          <w:szCs w:val="24"/>
          <w:lang w:eastAsia="ar-SA"/>
        </w:rPr>
        <w:t xml:space="preserve"> –</w:t>
      </w:r>
      <w:r>
        <w:rPr>
          <w:sz w:val="24"/>
          <w:szCs w:val="24"/>
          <w:lang w:eastAsia="ar-SA"/>
        </w:rPr>
        <w:t xml:space="preserve"> 11 163</w:t>
      </w:r>
      <w:r w:rsidRPr="002E77E2">
        <w:rPr>
          <w:sz w:val="24"/>
          <w:szCs w:val="24"/>
          <w:lang w:eastAsia="ar-SA"/>
        </w:rPr>
        <w:t xml:space="preserve"> руб</w:t>
      </w:r>
      <w:r>
        <w:rPr>
          <w:sz w:val="24"/>
          <w:szCs w:val="24"/>
          <w:lang w:eastAsia="ar-SA"/>
        </w:rPr>
        <w:t>лей</w:t>
      </w:r>
      <w:r w:rsidRPr="002E77E2">
        <w:rPr>
          <w:sz w:val="24"/>
          <w:szCs w:val="24"/>
          <w:lang w:eastAsia="ar-SA"/>
        </w:rPr>
        <w:t>, с 01.01.201</w:t>
      </w:r>
      <w:r>
        <w:rPr>
          <w:sz w:val="24"/>
          <w:szCs w:val="24"/>
          <w:lang w:eastAsia="ar-SA"/>
        </w:rPr>
        <w:t>9</w:t>
      </w:r>
      <w:r w:rsidRPr="002E77E2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–</w:t>
      </w:r>
      <w:r w:rsidRPr="002E77E2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11 280</w:t>
      </w:r>
      <w:r w:rsidRPr="002E77E2">
        <w:rPr>
          <w:sz w:val="24"/>
          <w:szCs w:val="24"/>
          <w:lang w:eastAsia="ar-SA"/>
        </w:rPr>
        <w:t xml:space="preserve"> руб</w:t>
      </w:r>
      <w:r>
        <w:rPr>
          <w:sz w:val="24"/>
          <w:szCs w:val="24"/>
          <w:lang w:eastAsia="ar-SA"/>
        </w:rPr>
        <w:t>лей).</w:t>
      </w:r>
    </w:p>
    <w:p w:rsidR="00184201" w:rsidRPr="005319C7" w:rsidRDefault="00184201" w:rsidP="00443EE9">
      <w:pPr>
        <w:pStyle w:val="aff0"/>
        <w:spacing w:line="276" w:lineRule="auto"/>
        <w:jc w:val="center"/>
        <w:rPr>
          <w:b/>
          <w:sz w:val="24"/>
          <w:szCs w:val="24"/>
          <w:highlight w:val="yellow"/>
        </w:rPr>
      </w:pPr>
    </w:p>
    <w:p w:rsidR="00A50BA4" w:rsidRPr="009B7ADC" w:rsidRDefault="00A50BA4" w:rsidP="00443EE9">
      <w:pPr>
        <w:pStyle w:val="aff0"/>
        <w:spacing w:line="276" w:lineRule="auto"/>
        <w:jc w:val="center"/>
        <w:rPr>
          <w:b/>
          <w:sz w:val="24"/>
          <w:szCs w:val="24"/>
        </w:rPr>
      </w:pPr>
      <w:r w:rsidRPr="009B7ADC">
        <w:rPr>
          <w:b/>
          <w:sz w:val="24"/>
          <w:szCs w:val="24"/>
        </w:rPr>
        <w:t>Демография и занятость населения</w:t>
      </w:r>
      <w:bookmarkStart w:id="5" w:name="демогр"/>
      <w:bookmarkEnd w:id="5"/>
    </w:p>
    <w:p w:rsidR="00A50BA4" w:rsidRPr="005319C7" w:rsidRDefault="00A50BA4" w:rsidP="00443EE9">
      <w:pPr>
        <w:pStyle w:val="aff0"/>
        <w:spacing w:line="276" w:lineRule="auto"/>
        <w:jc w:val="center"/>
        <w:rPr>
          <w:b/>
          <w:sz w:val="24"/>
          <w:szCs w:val="24"/>
          <w:highlight w:val="yellow"/>
        </w:rPr>
      </w:pPr>
    </w:p>
    <w:p w:rsidR="00B52AF1" w:rsidRDefault="00B52AF1" w:rsidP="00BE6173">
      <w:pPr>
        <w:spacing w:line="276" w:lineRule="auto"/>
        <w:ind w:firstLine="709"/>
        <w:jc w:val="both"/>
        <w:rPr>
          <w:sz w:val="24"/>
          <w:szCs w:val="24"/>
        </w:rPr>
      </w:pPr>
      <w:r w:rsidRPr="00B91A0D">
        <w:rPr>
          <w:color w:val="000000"/>
          <w:sz w:val="24"/>
          <w:szCs w:val="24"/>
          <w:lang w:eastAsia="ru-RU"/>
        </w:rPr>
        <w:t xml:space="preserve">В текущем году в </w:t>
      </w:r>
      <w:r w:rsidR="00B5539F">
        <w:rPr>
          <w:color w:val="000000"/>
          <w:sz w:val="24"/>
          <w:szCs w:val="24"/>
          <w:lang w:eastAsia="ru-RU"/>
        </w:rPr>
        <w:t xml:space="preserve">городском округе </w:t>
      </w:r>
      <w:r w:rsidRPr="00B91A0D">
        <w:rPr>
          <w:color w:val="000000"/>
          <w:sz w:val="24"/>
          <w:szCs w:val="24"/>
          <w:lang w:eastAsia="ru-RU"/>
        </w:rPr>
        <w:t xml:space="preserve">Тольятти, как и по Самарской области в целом, продолжает </w:t>
      </w:r>
      <w:r w:rsidRPr="003D30D1">
        <w:rPr>
          <w:color w:val="000000"/>
          <w:sz w:val="24"/>
          <w:szCs w:val="24"/>
          <w:lang w:eastAsia="ru-RU"/>
        </w:rPr>
        <w:t>снижаться численность постоянного населения</w:t>
      </w:r>
      <w:r w:rsidRPr="00B91A0D">
        <w:rPr>
          <w:color w:val="000000"/>
          <w:sz w:val="24"/>
          <w:szCs w:val="24"/>
          <w:lang w:eastAsia="ru-RU"/>
        </w:rPr>
        <w:t>.  По состоянию на 1 июля 2019 года она составила 700,4 тыс. человек, снизившись с начала 2019 года на 2,4 тыс.</w:t>
      </w:r>
      <w:r w:rsidR="003D30D1">
        <w:rPr>
          <w:color w:val="000000"/>
          <w:sz w:val="24"/>
          <w:szCs w:val="24"/>
          <w:lang w:eastAsia="ru-RU"/>
        </w:rPr>
        <w:t xml:space="preserve"> </w:t>
      </w:r>
      <w:r w:rsidRPr="00B91A0D">
        <w:rPr>
          <w:color w:val="000000"/>
          <w:sz w:val="24"/>
          <w:szCs w:val="24"/>
          <w:lang w:eastAsia="ru-RU"/>
        </w:rPr>
        <w:t xml:space="preserve">человек. </w:t>
      </w:r>
      <w:r w:rsidRPr="00B91A0D">
        <w:rPr>
          <w:sz w:val="24"/>
          <w:szCs w:val="24"/>
        </w:rPr>
        <w:t>Убыль населения отмечена во всех районах городского округа: в Автозаводском (-1175 человек), в Комсомольском (-302 человек), в Центральном (-975 человек).</w:t>
      </w:r>
      <w:r w:rsidRPr="00E3435E">
        <w:rPr>
          <w:sz w:val="24"/>
          <w:szCs w:val="24"/>
        </w:rPr>
        <w:t xml:space="preserve"> </w:t>
      </w:r>
    </w:p>
    <w:p w:rsidR="00B52AF1" w:rsidRPr="00E87DE7" w:rsidRDefault="00B52AF1" w:rsidP="00BE6173">
      <w:pPr>
        <w:pStyle w:val="aff0"/>
        <w:spacing w:line="276" w:lineRule="auto"/>
        <w:rPr>
          <w:b/>
          <w:bCs/>
          <w:sz w:val="24"/>
          <w:szCs w:val="24"/>
        </w:rPr>
      </w:pPr>
      <w:r w:rsidRPr="00E87DE7">
        <w:rPr>
          <w:sz w:val="24"/>
          <w:szCs w:val="24"/>
        </w:rPr>
        <w:t>В течение</w:t>
      </w:r>
      <w:r w:rsidRPr="00E87DE7">
        <w:rPr>
          <w:b/>
          <w:bCs/>
          <w:sz w:val="24"/>
          <w:szCs w:val="24"/>
        </w:rPr>
        <w:t xml:space="preserve"> </w:t>
      </w:r>
      <w:r w:rsidRPr="00E87DE7">
        <w:rPr>
          <w:bCs/>
          <w:sz w:val="24"/>
          <w:szCs w:val="24"/>
        </w:rPr>
        <w:t>1 полугодия</w:t>
      </w:r>
      <w:r w:rsidRPr="00E87DE7">
        <w:rPr>
          <w:b/>
          <w:bCs/>
          <w:sz w:val="24"/>
          <w:szCs w:val="24"/>
        </w:rPr>
        <w:t xml:space="preserve"> </w:t>
      </w:r>
      <w:r w:rsidRPr="00E87DE7">
        <w:rPr>
          <w:sz w:val="24"/>
          <w:szCs w:val="24"/>
        </w:rPr>
        <w:t>2019 года в городском округе Тольятти родилось 2,9 тыс. человек, что на 272 человека (8,5%) меньше, чем за соответствующий период предыдущего года. Коэффициент рождаемости составил 8,4 промилле, против 9,2 промилле в 1 полугодии 2018 года. Спад рождаемости обусловлен, прежде всего, фактом снижения численности женщин репродуктивного возраста.</w:t>
      </w:r>
    </w:p>
    <w:p w:rsidR="00B52AF1" w:rsidRDefault="00B52AF1" w:rsidP="00BE6173">
      <w:pPr>
        <w:pStyle w:val="aff0"/>
        <w:spacing w:line="276" w:lineRule="auto"/>
        <w:rPr>
          <w:sz w:val="24"/>
          <w:szCs w:val="24"/>
        </w:rPr>
      </w:pPr>
      <w:r w:rsidRPr="00E3435E">
        <w:rPr>
          <w:sz w:val="24"/>
          <w:szCs w:val="24"/>
        </w:rPr>
        <w:t>Число умерших относительно аналогичного показателя пр</w:t>
      </w:r>
      <w:r>
        <w:rPr>
          <w:sz w:val="24"/>
          <w:szCs w:val="24"/>
        </w:rPr>
        <w:t>едыдущего</w:t>
      </w:r>
      <w:r w:rsidRPr="00E3435E">
        <w:rPr>
          <w:sz w:val="24"/>
          <w:szCs w:val="24"/>
        </w:rPr>
        <w:t xml:space="preserve"> года </w:t>
      </w:r>
      <w:r w:rsidRPr="00E87DE7">
        <w:rPr>
          <w:sz w:val="24"/>
          <w:szCs w:val="24"/>
        </w:rPr>
        <w:t>уменьшилось на 231 человек (5,5%) и составило 4,0 тыс. человек. Коэффициент</w:t>
      </w:r>
      <w:r w:rsidRPr="00E3435E">
        <w:rPr>
          <w:sz w:val="24"/>
          <w:szCs w:val="24"/>
        </w:rPr>
        <w:t xml:space="preserve"> смертности составил 1</w:t>
      </w:r>
      <w:r>
        <w:rPr>
          <w:sz w:val="24"/>
          <w:szCs w:val="24"/>
        </w:rPr>
        <w:t xml:space="preserve">1,5 </w:t>
      </w:r>
      <w:r w:rsidRPr="00E3435E">
        <w:rPr>
          <w:sz w:val="24"/>
          <w:szCs w:val="24"/>
        </w:rPr>
        <w:t>промилле, против 1</w:t>
      </w:r>
      <w:r>
        <w:rPr>
          <w:sz w:val="24"/>
          <w:szCs w:val="24"/>
        </w:rPr>
        <w:t>2,1</w:t>
      </w:r>
      <w:r w:rsidRPr="00E3435E">
        <w:rPr>
          <w:sz w:val="24"/>
          <w:szCs w:val="24"/>
        </w:rPr>
        <w:t xml:space="preserve"> промилле в </w:t>
      </w:r>
      <w:r>
        <w:rPr>
          <w:sz w:val="24"/>
          <w:szCs w:val="24"/>
        </w:rPr>
        <w:t xml:space="preserve">1 полугодии </w:t>
      </w:r>
      <w:r w:rsidRPr="00E3435E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E3435E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E3435E">
        <w:rPr>
          <w:sz w:val="24"/>
          <w:szCs w:val="24"/>
        </w:rPr>
        <w:t>.</w:t>
      </w:r>
    </w:p>
    <w:p w:rsidR="00B52AF1" w:rsidRPr="00E87DE7" w:rsidRDefault="00B52AF1" w:rsidP="00BE6173">
      <w:pPr>
        <w:spacing w:line="276" w:lineRule="auto"/>
        <w:ind w:firstLine="709"/>
        <w:jc w:val="both"/>
        <w:rPr>
          <w:sz w:val="24"/>
          <w:szCs w:val="24"/>
        </w:rPr>
      </w:pPr>
      <w:r w:rsidRPr="00E87DE7">
        <w:rPr>
          <w:sz w:val="24"/>
          <w:szCs w:val="24"/>
        </w:rPr>
        <w:t>Общая характеристика воспроизводства населения городского округа Тольятти приведена в таблице:</w:t>
      </w:r>
    </w:p>
    <w:p w:rsidR="00B52AF1" w:rsidRPr="00E3435E" w:rsidRDefault="00B52AF1" w:rsidP="00B52AF1">
      <w:pPr>
        <w:pStyle w:val="aff0"/>
        <w:keepNext/>
        <w:keepLines/>
        <w:jc w:val="center"/>
        <w:rPr>
          <w:b/>
          <w:bCs/>
          <w:sz w:val="24"/>
          <w:szCs w:val="24"/>
        </w:rPr>
      </w:pPr>
      <w:r w:rsidRPr="00E3435E">
        <w:rPr>
          <w:sz w:val="24"/>
          <w:szCs w:val="24"/>
        </w:rPr>
        <w:t>Показатели естественного движения населения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1559"/>
        <w:gridCol w:w="992"/>
        <w:gridCol w:w="1134"/>
        <w:gridCol w:w="1134"/>
      </w:tblGrid>
      <w:tr w:rsidR="00B52AF1" w:rsidRPr="00E3435E" w:rsidTr="00B5539F">
        <w:trPr>
          <w:cantSplit/>
          <w:trHeight w:val="70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B5539F" w:rsidRDefault="00B52AF1" w:rsidP="00B5539F">
            <w:pPr>
              <w:pStyle w:val="aff0"/>
              <w:keepNext/>
              <w:keepLine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5539F">
              <w:rPr>
                <w:bCs/>
                <w:sz w:val="24"/>
                <w:szCs w:val="24"/>
              </w:rPr>
              <w:t>Показатель</w:t>
            </w:r>
          </w:p>
          <w:p w:rsidR="00B52AF1" w:rsidRPr="00B5539F" w:rsidRDefault="00B52AF1" w:rsidP="0081226A">
            <w:pPr>
              <w:pStyle w:val="aff0"/>
              <w:keepNext/>
              <w:keepLines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B5539F" w:rsidRDefault="00B52AF1" w:rsidP="0081226A">
            <w:pPr>
              <w:pStyle w:val="aff0"/>
              <w:keepNext/>
              <w:keepLine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5539F">
              <w:rPr>
                <w:bCs/>
                <w:sz w:val="24"/>
                <w:szCs w:val="24"/>
              </w:rPr>
              <w:t>Январь-июнь,</w:t>
            </w:r>
          </w:p>
          <w:p w:rsidR="00B52AF1" w:rsidRPr="00B5539F" w:rsidRDefault="00B52AF1" w:rsidP="00B5539F">
            <w:pPr>
              <w:pStyle w:val="aff0"/>
              <w:keepNext/>
              <w:keepLine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5539F">
              <w:rPr>
                <w:bCs/>
                <w:sz w:val="24"/>
                <w:szCs w:val="24"/>
              </w:rPr>
              <w:t>чел</w:t>
            </w:r>
            <w:r w:rsidR="00B5539F">
              <w:rPr>
                <w:bCs/>
                <w:sz w:val="24"/>
                <w:szCs w:val="24"/>
              </w:rPr>
              <w:t>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AF1" w:rsidRPr="00B5539F" w:rsidRDefault="00B52AF1" w:rsidP="0081226A">
            <w:pPr>
              <w:pStyle w:val="aff0"/>
              <w:keepNext/>
              <w:keepLine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5539F">
              <w:rPr>
                <w:bCs/>
                <w:sz w:val="24"/>
                <w:szCs w:val="24"/>
              </w:rPr>
              <w:t>Прирост (+), снижение</w:t>
            </w:r>
          </w:p>
          <w:p w:rsidR="00B52AF1" w:rsidRPr="00B5539F" w:rsidRDefault="00B52AF1" w:rsidP="0081226A">
            <w:pPr>
              <w:pStyle w:val="aff0"/>
              <w:keepNext/>
              <w:keepLine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5539F">
              <w:rPr>
                <w:bCs/>
                <w:sz w:val="24"/>
                <w:szCs w:val="24"/>
              </w:rPr>
              <w:t>(-),чел</w:t>
            </w:r>
            <w:r w:rsidR="00E9409B">
              <w:rPr>
                <w:bCs/>
                <w:sz w:val="24"/>
                <w:szCs w:val="24"/>
              </w:rPr>
              <w:t>овек</w:t>
            </w:r>
          </w:p>
          <w:p w:rsidR="00B52AF1" w:rsidRPr="00B5539F" w:rsidRDefault="00B52AF1" w:rsidP="0081226A">
            <w:pPr>
              <w:pStyle w:val="aff0"/>
              <w:keepNext/>
              <w:keepLine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AF1" w:rsidRPr="00B5539F" w:rsidRDefault="00B52AF1" w:rsidP="0081226A">
            <w:pPr>
              <w:pStyle w:val="aff0"/>
              <w:keepNext/>
              <w:keepLine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B5539F">
              <w:rPr>
                <w:bCs/>
                <w:sz w:val="24"/>
                <w:szCs w:val="24"/>
              </w:rPr>
              <w:t>Темп роста, 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AF1" w:rsidRPr="00B5539F" w:rsidRDefault="00B52AF1" w:rsidP="0081226A">
            <w:pPr>
              <w:pStyle w:val="aff0"/>
              <w:keepNext/>
              <w:keepLines/>
              <w:spacing w:line="240" w:lineRule="auto"/>
              <w:ind w:firstLine="0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B5539F">
              <w:rPr>
                <w:bCs/>
                <w:sz w:val="24"/>
                <w:szCs w:val="24"/>
              </w:rPr>
              <w:t xml:space="preserve">Январь - июнь на </w:t>
            </w:r>
            <w:r w:rsidRPr="00B5539F">
              <w:rPr>
                <w:sz w:val="24"/>
                <w:szCs w:val="24"/>
              </w:rPr>
              <w:t>1000 населения</w:t>
            </w:r>
          </w:p>
        </w:tc>
      </w:tr>
      <w:tr w:rsidR="00B52AF1" w:rsidRPr="00E3435E" w:rsidTr="00B5539F">
        <w:trPr>
          <w:cantSplit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B5539F" w:rsidRDefault="00B52AF1" w:rsidP="0081226A">
            <w:pPr>
              <w:pStyle w:val="aff0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B5539F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39F">
              <w:rPr>
                <w:sz w:val="24"/>
                <w:szCs w:val="24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B5539F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5539F">
              <w:rPr>
                <w:sz w:val="24"/>
                <w:szCs w:val="24"/>
              </w:rPr>
              <w:t>2019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B5539F" w:rsidRDefault="00B52AF1" w:rsidP="0081226A">
            <w:pPr>
              <w:pStyle w:val="af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B5539F" w:rsidRDefault="00B52AF1" w:rsidP="0081226A">
            <w:pPr>
              <w:pStyle w:val="aff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B5539F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5539F">
              <w:rPr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AF1" w:rsidRPr="00B5539F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5539F">
              <w:rPr>
                <w:sz w:val="24"/>
                <w:szCs w:val="24"/>
              </w:rPr>
              <w:t>2019 г.</w:t>
            </w:r>
          </w:p>
        </w:tc>
      </w:tr>
      <w:tr w:rsidR="00B52AF1" w:rsidRPr="00E3435E" w:rsidTr="00B553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3435E">
              <w:rPr>
                <w:bCs/>
                <w:sz w:val="24"/>
                <w:szCs w:val="24"/>
              </w:rPr>
              <w:t>Родившихся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B52AF1" w:rsidRPr="00E3435E" w:rsidTr="00B5539F">
        <w:trPr>
          <w:trHeight w:val="21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3435E">
              <w:rPr>
                <w:bCs/>
                <w:sz w:val="24"/>
                <w:szCs w:val="24"/>
              </w:rPr>
              <w:t>Умерших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B52AF1" w:rsidRPr="00E3435E" w:rsidTr="00B553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E3435E" w:rsidRDefault="00E9409B" w:rsidP="0081226A">
            <w:pPr>
              <w:pStyle w:val="aff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B52AF1" w:rsidRPr="00E3435E">
              <w:rPr>
                <w:bCs/>
                <w:sz w:val="24"/>
                <w:szCs w:val="24"/>
              </w:rPr>
              <w:t xml:space="preserve"> том числе детей</w:t>
            </w:r>
          </w:p>
          <w:p w:rsidR="00B52AF1" w:rsidRPr="00E3435E" w:rsidRDefault="00B52AF1" w:rsidP="0081226A">
            <w:pPr>
              <w:pStyle w:val="aff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3435E">
              <w:rPr>
                <w:bCs/>
                <w:sz w:val="24"/>
                <w:szCs w:val="24"/>
              </w:rPr>
              <w:t>в возрасте 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  <w:r w:rsidRPr="00E3435E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  <w:r w:rsidRPr="00E3435E">
              <w:rPr>
                <w:sz w:val="24"/>
                <w:szCs w:val="24"/>
              </w:rPr>
              <w:t>*</w:t>
            </w:r>
          </w:p>
        </w:tc>
      </w:tr>
      <w:tr w:rsidR="00B52AF1" w:rsidRPr="00E3435E" w:rsidTr="00B5539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3435E">
              <w:rPr>
                <w:bCs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AF1" w:rsidRPr="00E3435E" w:rsidRDefault="00B52AF1" w:rsidP="0081226A">
            <w:pPr>
              <w:pStyle w:val="aff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-3,1</w:t>
            </w:r>
          </w:p>
        </w:tc>
      </w:tr>
    </w:tbl>
    <w:p w:rsidR="00B52AF1" w:rsidRPr="00E3435E" w:rsidRDefault="00B52AF1" w:rsidP="00B52AF1">
      <w:pPr>
        <w:pStyle w:val="aff0"/>
        <w:rPr>
          <w:sz w:val="24"/>
          <w:szCs w:val="24"/>
        </w:rPr>
      </w:pPr>
      <w:r w:rsidRPr="00E3435E">
        <w:rPr>
          <w:sz w:val="24"/>
          <w:szCs w:val="24"/>
        </w:rPr>
        <w:t>* на 1000 родившихся</w:t>
      </w:r>
      <w:r>
        <w:rPr>
          <w:sz w:val="24"/>
          <w:szCs w:val="24"/>
        </w:rPr>
        <w:t>.</w:t>
      </w:r>
    </w:p>
    <w:p w:rsidR="00B52AF1" w:rsidRDefault="00B52AF1" w:rsidP="00BE6173">
      <w:pPr>
        <w:pStyle w:val="aff0"/>
        <w:spacing w:line="276" w:lineRule="auto"/>
        <w:rPr>
          <w:sz w:val="24"/>
          <w:szCs w:val="24"/>
        </w:rPr>
      </w:pPr>
      <w:r w:rsidRPr="00E87DE7">
        <w:rPr>
          <w:sz w:val="24"/>
          <w:szCs w:val="24"/>
        </w:rPr>
        <w:t xml:space="preserve">В результате естественная убыль населения городского округа увеличилась на 41 </w:t>
      </w:r>
      <w:r w:rsidRPr="00E87DE7">
        <w:rPr>
          <w:sz w:val="24"/>
          <w:szCs w:val="24"/>
        </w:rPr>
        <w:lastRenderedPageBreak/>
        <w:t>человек и составила -1054 человек.</w:t>
      </w:r>
      <w:r w:rsidRPr="00E3435E">
        <w:rPr>
          <w:sz w:val="24"/>
          <w:szCs w:val="24"/>
        </w:rPr>
        <w:t xml:space="preserve"> Общий коэффициент естественно</w:t>
      </w:r>
      <w:r>
        <w:rPr>
          <w:sz w:val="24"/>
          <w:szCs w:val="24"/>
        </w:rPr>
        <w:t>й убыли</w:t>
      </w:r>
      <w:r w:rsidRPr="00E3435E">
        <w:rPr>
          <w:sz w:val="24"/>
          <w:szCs w:val="24"/>
        </w:rPr>
        <w:t xml:space="preserve"> зафиксирован на уровне </w:t>
      </w:r>
      <w:r>
        <w:rPr>
          <w:sz w:val="24"/>
          <w:szCs w:val="24"/>
        </w:rPr>
        <w:t xml:space="preserve">-3,1 </w:t>
      </w:r>
      <w:r w:rsidRPr="00E3435E">
        <w:rPr>
          <w:sz w:val="24"/>
          <w:szCs w:val="24"/>
        </w:rPr>
        <w:t xml:space="preserve">промилле, против </w:t>
      </w:r>
      <w:r>
        <w:rPr>
          <w:sz w:val="24"/>
          <w:szCs w:val="24"/>
        </w:rPr>
        <w:t>-2,9</w:t>
      </w:r>
      <w:r w:rsidRPr="00E3435E">
        <w:rPr>
          <w:sz w:val="24"/>
          <w:szCs w:val="24"/>
        </w:rPr>
        <w:t xml:space="preserve"> промилле в </w:t>
      </w:r>
      <w:r>
        <w:rPr>
          <w:sz w:val="24"/>
          <w:szCs w:val="24"/>
        </w:rPr>
        <w:t>1 полугодии</w:t>
      </w:r>
      <w:r w:rsidRPr="00E3435E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E3435E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E3435E">
        <w:rPr>
          <w:sz w:val="24"/>
          <w:szCs w:val="24"/>
        </w:rPr>
        <w:t xml:space="preserve">. </w:t>
      </w:r>
    </w:p>
    <w:p w:rsidR="00B52AF1" w:rsidRDefault="00B52AF1" w:rsidP="00BE6173">
      <w:pPr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AD5A36">
        <w:rPr>
          <w:rFonts w:eastAsia="Calibri"/>
          <w:sz w:val="24"/>
          <w:szCs w:val="24"/>
          <w:lang w:eastAsia="ar-SA"/>
        </w:rPr>
        <w:t xml:space="preserve">В рейтинге городских округов Самарской области за январь-июнь 2019 года городской округ Тольятти по естественному приросту (убыли) населения занял </w:t>
      </w:r>
      <w:r w:rsidRPr="003935C4">
        <w:rPr>
          <w:rFonts w:eastAsia="Calibri"/>
          <w:sz w:val="24"/>
          <w:szCs w:val="24"/>
          <w:lang w:eastAsia="ar-SA"/>
        </w:rPr>
        <w:t>второе место (январь-июнь 2018 года - 1 место).</w:t>
      </w:r>
      <w:r>
        <w:rPr>
          <w:rFonts w:eastAsia="Calibri"/>
          <w:sz w:val="24"/>
          <w:szCs w:val="24"/>
          <w:lang w:eastAsia="ar-SA"/>
        </w:rPr>
        <w:t xml:space="preserve"> </w:t>
      </w:r>
    </w:p>
    <w:p w:rsidR="00B52AF1" w:rsidRDefault="00B52AF1" w:rsidP="00BE6173">
      <w:pPr>
        <w:pStyle w:val="aff0"/>
        <w:spacing w:line="276" w:lineRule="auto"/>
        <w:rPr>
          <w:bCs/>
          <w:sz w:val="24"/>
          <w:szCs w:val="24"/>
          <w:lang w:eastAsia="ru-RU"/>
        </w:rPr>
      </w:pPr>
      <w:r w:rsidRPr="00E87DE7">
        <w:rPr>
          <w:bCs/>
          <w:sz w:val="24"/>
          <w:szCs w:val="24"/>
          <w:lang w:eastAsia="ru-RU"/>
        </w:rPr>
        <w:t xml:space="preserve">Сальдо миграции в городском округе </w:t>
      </w:r>
      <w:r w:rsidR="00BE6173">
        <w:rPr>
          <w:bCs/>
          <w:sz w:val="24"/>
          <w:szCs w:val="24"/>
          <w:lang w:eastAsia="ru-RU"/>
        </w:rPr>
        <w:t xml:space="preserve">Тольятти </w:t>
      </w:r>
      <w:r w:rsidRPr="00E87DE7">
        <w:rPr>
          <w:bCs/>
          <w:sz w:val="24"/>
          <w:szCs w:val="24"/>
          <w:lang w:eastAsia="ru-RU"/>
        </w:rPr>
        <w:t xml:space="preserve">сохраняется отрицательным -1398 </w:t>
      </w:r>
      <w:r w:rsidRPr="00E87DE7">
        <w:rPr>
          <w:sz w:val="24"/>
          <w:szCs w:val="24"/>
        </w:rPr>
        <w:t>человек</w:t>
      </w:r>
      <w:r w:rsidRPr="00E87DE7">
        <w:rPr>
          <w:bCs/>
          <w:sz w:val="24"/>
          <w:szCs w:val="24"/>
          <w:lang w:eastAsia="ru-RU"/>
        </w:rPr>
        <w:t>, что на 370 человек (</w:t>
      </w:r>
      <w:r w:rsidR="00E9409B">
        <w:rPr>
          <w:bCs/>
          <w:sz w:val="24"/>
          <w:szCs w:val="24"/>
          <w:lang w:eastAsia="ru-RU"/>
        </w:rPr>
        <w:t xml:space="preserve">на </w:t>
      </w:r>
      <w:r w:rsidRPr="00E87DE7">
        <w:rPr>
          <w:bCs/>
          <w:sz w:val="24"/>
          <w:szCs w:val="24"/>
          <w:lang w:eastAsia="ru-RU"/>
        </w:rPr>
        <w:t>36</w:t>
      </w:r>
      <w:r>
        <w:rPr>
          <w:bCs/>
          <w:sz w:val="24"/>
          <w:szCs w:val="24"/>
          <w:lang w:eastAsia="ru-RU"/>
        </w:rPr>
        <w:t xml:space="preserve">,0%) больше уровня показателя 1 полугодия 2018 года </w:t>
      </w:r>
      <w:r w:rsidR="00BE6173">
        <w:rPr>
          <w:bCs/>
          <w:sz w:val="24"/>
          <w:szCs w:val="24"/>
          <w:lang w:eastAsia="ru-RU"/>
        </w:rPr>
        <w:t xml:space="preserve">  </w:t>
      </w:r>
      <w:r>
        <w:rPr>
          <w:bCs/>
          <w:sz w:val="24"/>
          <w:szCs w:val="24"/>
          <w:lang w:eastAsia="ru-RU"/>
        </w:rPr>
        <w:t>(-1028).</w:t>
      </w:r>
      <w:r w:rsidRPr="00E3435E">
        <w:rPr>
          <w:bCs/>
          <w:sz w:val="24"/>
          <w:szCs w:val="24"/>
          <w:lang w:eastAsia="ru-RU"/>
        </w:rPr>
        <w:t xml:space="preserve"> </w:t>
      </w:r>
      <w:r w:rsidR="00E9409B" w:rsidRPr="00E9409B">
        <w:rPr>
          <w:bCs/>
          <w:sz w:val="24"/>
          <w:szCs w:val="24"/>
          <w:lang w:eastAsia="ru-RU"/>
        </w:rPr>
        <w:t xml:space="preserve">Следует отметить, что во втором полугодии </w:t>
      </w:r>
      <w:r w:rsidR="00E9409B">
        <w:rPr>
          <w:bCs/>
          <w:sz w:val="24"/>
          <w:szCs w:val="24"/>
          <w:lang w:eastAsia="ru-RU"/>
        </w:rPr>
        <w:t xml:space="preserve">традиционно </w:t>
      </w:r>
      <w:r w:rsidR="00E9409B" w:rsidRPr="00E9409B">
        <w:rPr>
          <w:bCs/>
          <w:sz w:val="24"/>
          <w:szCs w:val="24"/>
          <w:lang w:eastAsia="ru-RU"/>
        </w:rPr>
        <w:t>наблюдается более интенсивный отток населения по причине сезонного фактора.</w:t>
      </w:r>
    </w:p>
    <w:p w:rsidR="00B52AF1" w:rsidRPr="00E87DE7" w:rsidRDefault="00B52AF1" w:rsidP="00BE6173">
      <w:pPr>
        <w:pStyle w:val="aff0"/>
        <w:spacing w:line="276" w:lineRule="auto"/>
        <w:rPr>
          <w:bCs/>
          <w:sz w:val="24"/>
          <w:szCs w:val="24"/>
          <w:lang w:eastAsia="ru-RU"/>
        </w:rPr>
      </w:pPr>
      <w:r w:rsidRPr="00E87DE7">
        <w:rPr>
          <w:bCs/>
          <w:sz w:val="24"/>
          <w:szCs w:val="24"/>
          <w:lang w:eastAsia="ru-RU"/>
        </w:rPr>
        <w:t xml:space="preserve">Таким образом, по итогам 1 полугодия текущего года в демографическом развитии городского округа Тольятти произошли как положительные, так и отрицательные сдвиги. Позитивным моментом явилось улучшение показателей смертности. Негативным –  ухудшение показателей рождаемости, увеличение миграционной убыли. </w:t>
      </w:r>
    </w:p>
    <w:p w:rsidR="00B52AF1" w:rsidRPr="008C57D3" w:rsidRDefault="00B52AF1" w:rsidP="00BE6173">
      <w:pPr>
        <w:pStyle w:val="230"/>
        <w:keepNext/>
        <w:keepLines/>
        <w:spacing w:after="0" w:line="276" w:lineRule="auto"/>
        <w:ind w:left="0"/>
        <w:jc w:val="center"/>
        <w:rPr>
          <w:bCs/>
          <w:sz w:val="24"/>
          <w:szCs w:val="24"/>
        </w:rPr>
      </w:pPr>
      <w:r w:rsidRPr="008C57D3">
        <w:rPr>
          <w:bCs/>
          <w:sz w:val="24"/>
          <w:szCs w:val="24"/>
        </w:rPr>
        <w:t>Ожидаемое выполнение прогнозных показателей в сфере демографии на 2019 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1559"/>
        <w:gridCol w:w="1418"/>
        <w:gridCol w:w="1559"/>
      </w:tblGrid>
      <w:tr w:rsidR="00B52AF1" w:rsidRPr="00F6192D" w:rsidTr="0081226A">
        <w:trPr>
          <w:tblHeader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AF1" w:rsidRPr="008C57D3" w:rsidRDefault="00B52AF1" w:rsidP="0081226A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7D3">
              <w:rPr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AF1" w:rsidRPr="008C57D3" w:rsidRDefault="00B52AF1" w:rsidP="0081226A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7D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AF1" w:rsidRPr="008C57D3" w:rsidRDefault="00B52AF1" w:rsidP="0081226A">
            <w:pPr>
              <w:jc w:val="center"/>
              <w:rPr>
                <w:sz w:val="24"/>
                <w:szCs w:val="24"/>
              </w:rPr>
            </w:pPr>
            <w:r w:rsidRPr="008C57D3">
              <w:rPr>
                <w:sz w:val="24"/>
                <w:szCs w:val="24"/>
              </w:rPr>
              <w:t>Прогноз на 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1" w:rsidRPr="00F6192D" w:rsidRDefault="00B52AF1" w:rsidP="0081226A">
            <w:pPr>
              <w:jc w:val="center"/>
              <w:rPr>
                <w:sz w:val="24"/>
                <w:szCs w:val="24"/>
                <w:highlight w:val="lightGray"/>
              </w:rPr>
            </w:pPr>
            <w:r w:rsidRPr="008C57D3">
              <w:rPr>
                <w:sz w:val="24"/>
                <w:szCs w:val="24"/>
              </w:rPr>
              <w:t>2019 год (оценка)</w:t>
            </w:r>
          </w:p>
        </w:tc>
      </w:tr>
      <w:tr w:rsidR="00B52AF1" w:rsidRPr="00F6192D" w:rsidTr="0081226A">
        <w:trPr>
          <w:tblHeader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AF1" w:rsidRPr="008C57D3" w:rsidRDefault="00B52AF1" w:rsidP="0081226A">
            <w:pPr>
              <w:pStyle w:val="230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AF1" w:rsidRPr="008C57D3" w:rsidRDefault="00B52AF1" w:rsidP="0081226A">
            <w:pPr>
              <w:pStyle w:val="230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AF1" w:rsidRPr="008C57D3" w:rsidRDefault="00B52AF1" w:rsidP="0081226A">
            <w:pPr>
              <w:jc w:val="center"/>
              <w:rPr>
                <w:sz w:val="24"/>
                <w:szCs w:val="24"/>
              </w:rPr>
            </w:pPr>
            <w:r w:rsidRPr="008C57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,2</w:t>
            </w:r>
            <w:r w:rsidRPr="008C57D3">
              <w:rPr>
                <w:sz w:val="24"/>
                <w:szCs w:val="24"/>
              </w:rPr>
              <w:t xml:space="preserve"> вариант</w:t>
            </w:r>
            <w:r>
              <w:rPr>
                <w:sz w:val="24"/>
                <w:szCs w:val="24"/>
              </w:rPr>
              <w:t>ы</w:t>
            </w:r>
            <w:r w:rsidRPr="008C57D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консервати-вный, </w:t>
            </w:r>
            <w:r w:rsidRPr="008C57D3">
              <w:rPr>
                <w:sz w:val="24"/>
                <w:szCs w:val="24"/>
              </w:rPr>
              <w:t>базовый)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AF1" w:rsidRPr="008C57D3" w:rsidRDefault="00B52AF1" w:rsidP="00812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C57D3">
              <w:rPr>
                <w:sz w:val="24"/>
                <w:szCs w:val="24"/>
              </w:rPr>
              <w:t xml:space="preserve"> вариант</w:t>
            </w:r>
          </w:p>
          <w:p w:rsidR="00B52AF1" w:rsidRPr="008C57D3" w:rsidRDefault="00B52AF1" w:rsidP="0081226A">
            <w:pPr>
              <w:jc w:val="center"/>
              <w:rPr>
                <w:sz w:val="24"/>
                <w:szCs w:val="24"/>
              </w:rPr>
            </w:pPr>
            <w:r w:rsidRPr="008C57D3">
              <w:rPr>
                <w:sz w:val="24"/>
                <w:szCs w:val="24"/>
              </w:rPr>
              <w:t>(целевой)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F1" w:rsidRPr="00F6192D" w:rsidRDefault="00B52AF1" w:rsidP="0081226A">
            <w:pPr>
              <w:pStyle w:val="230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B52AF1" w:rsidRPr="00F6192D" w:rsidTr="0081226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AF1" w:rsidRPr="008C57D3" w:rsidRDefault="00B52AF1" w:rsidP="0081226A">
            <w:pPr>
              <w:pStyle w:val="230"/>
              <w:spacing w:after="0" w:line="240" w:lineRule="auto"/>
              <w:ind w:left="0"/>
              <w:rPr>
                <w:sz w:val="24"/>
                <w:szCs w:val="24"/>
              </w:rPr>
            </w:pPr>
            <w:r w:rsidRPr="008C57D3">
              <w:rPr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AF1" w:rsidRPr="008C57D3" w:rsidRDefault="00B52AF1" w:rsidP="0081226A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7D3">
              <w:rPr>
                <w:sz w:val="24"/>
                <w:szCs w:val="24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AF1" w:rsidRPr="008C57D3" w:rsidRDefault="00B52AF1" w:rsidP="0081226A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7D3">
              <w:rPr>
                <w:sz w:val="24"/>
                <w:szCs w:val="24"/>
              </w:rPr>
              <w:t>701,7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AF1" w:rsidRPr="008C57D3" w:rsidRDefault="00B52AF1" w:rsidP="0081226A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7D3">
              <w:rPr>
                <w:sz w:val="24"/>
                <w:szCs w:val="24"/>
              </w:rPr>
              <w:t>702,3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F1" w:rsidRPr="008C57D3" w:rsidRDefault="00B52AF1" w:rsidP="0081226A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7D3">
              <w:rPr>
                <w:sz w:val="24"/>
                <w:szCs w:val="24"/>
              </w:rPr>
              <w:t>700,0</w:t>
            </w:r>
          </w:p>
        </w:tc>
      </w:tr>
      <w:tr w:rsidR="00B52AF1" w:rsidRPr="00F6192D" w:rsidTr="0081226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AF1" w:rsidRPr="008C57D3" w:rsidRDefault="00B52AF1" w:rsidP="0081226A">
            <w:pPr>
              <w:pStyle w:val="230"/>
              <w:spacing w:after="0" w:line="240" w:lineRule="auto"/>
              <w:ind w:left="0"/>
              <w:rPr>
                <w:sz w:val="24"/>
                <w:szCs w:val="24"/>
              </w:rPr>
            </w:pPr>
            <w:r w:rsidRPr="008C57D3">
              <w:rPr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AF1" w:rsidRPr="008C57D3" w:rsidRDefault="00B52AF1" w:rsidP="0081226A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7D3">
              <w:rPr>
                <w:sz w:val="24"/>
                <w:szCs w:val="24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AF1" w:rsidRPr="008C57D3" w:rsidRDefault="00B52AF1" w:rsidP="0081226A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7D3">
              <w:rPr>
                <w:sz w:val="24"/>
                <w:szCs w:val="24"/>
              </w:rPr>
              <w:t>-1,9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AF1" w:rsidRPr="008C57D3" w:rsidRDefault="00B52AF1" w:rsidP="0081226A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7D3">
              <w:rPr>
                <w:sz w:val="24"/>
                <w:szCs w:val="24"/>
              </w:rPr>
              <w:t>-1,5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F1" w:rsidRPr="008C57D3" w:rsidRDefault="00B52AF1" w:rsidP="0081226A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7D3">
              <w:rPr>
                <w:sz w:val="24"/>
                <w:szCs w:val="24"/>
              </w:rPr>
              <w:t>-1,7</w:t>
            </w:r>
          </w:p>
        </w:tc>
      </w:tr>
      <w:tr w:rsidR="00B52AF1" w:rsidRPr="00F6192D" w:rsidTr="0081226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AF1" w:rsidRPr="008C57D3" w:rsidRDefault="00B52AF1" w:rsidP="0081226A">
            <w:pPr>
              <w:pStyle w:val="230"/>
              <w:spacing w:after="0" w:line="240" w:lineRule="auto"/>
              <w:ind w:left="0"/>
              <w:rPr>
                <w:sz w:val="24"/>
                <w:szCs w:val="24"/>
              </w:rPr>
            </w:pPr>
            <w:r w:rsidRPr="008C57D3">
              <w:rPr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AF1" w:rsidRPr="008C57D3" w:rsidRDefault="00B52AF1" w:rsidP="0081226A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7D3">
              <w:rPr>
                <w:sz w:val="24"/>
                <w:szCs w:val="24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AF1" w:rsidRPr="008C57D3" w:rsidRDefault="00B52AF1" w:rsidP="0081226A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7D3">
              <w:rPr>
                <w:sz w:val="24"/>
                <w:szCs w:val="24"/>
              </w:rPr>
              <w:t>-2,0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AF1" w:rsidRPr="008C57D3" w:rsidRDefault="00B52AF1" w:rsidP="0081226A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7D3">
              <w:rPr>
                <w:sz w:val="24"/>
                <w:szCs w:val="24"/>
              </w:rPr>
              <w:t>-1,0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F1" w:rsidRPr="008C57D3" w:rsidRDefault="00B52AF1" w:rsidP="0081226A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8C57D3">
              <w:rPr>
                <w:sz w:val="24"/>
                <w:szCs w:val="24"/>
              </w:rPr>
              <w:t>-4,0</w:t>
            </w:r>
          </w:p>
        </w:tc>
      </w:tr>
    </w:tbl>
    <w:p w:rsidR="00B52AF1" w:rsidRPr="00F6192D" w:rsidRDefault="00B52AF1" w:rsidP="00B52AF1">
      <w:pPr>
        <w:pStyle w:val="aff0"/>
        <w:spacing w:line="276" w:lineRule="auto"/>
        <w:rPr>
          <w:sz w:val="24"/>
          <w:szCs w:val="24"/>
          <w:highlight w:val="lightGray"/>
        </w:rPr>
      </w:pPr>
    </w:p>
    <w:p w:rsidR="00B52AF1" w:rsidRPr="00086CAC" w:rsidRDefault="00B52AF1" w:rsidP="00BE6173">
      <w:pPr>
        <w:pStyle w:val="230"/>
        <w:spacing w:after="0" w:line="276" w:lineRule="auto"/>
        <w:ind w:left="0" w:firstLine="709"/>
        <w:jc w:val="both"/>
        <w:rPr>
          <w:sz w:val="24"/>
          <w:szCs w:val="24"/>
        </w:rPr>
      </w:pPr>
      <w:r w:rsidRPr="00086CAC">
        <w:rPr>
          <w:sz w:val="24"/>
          <w:szCs w:val="24"/>
        </w:rPr>
        <w:t xml:space="preserve">Прогноз естественного прироста населения был рассчитан исходя из динамики данного показателя, сложившейся в 2017 году и ожидаемых темпов роста показателя в 2018 году (ожидался рост рождаемости за счет продления Программы «Материнский (семейный) капитал» (федеральный закон № 256-ФЗ от 29.12.2006 «О дополнительных мерах государственной поддержки семей, имеющих детей). </w:t>
      </w:r>
      <w:r w:rsidR="00BE6173">
        <w:rPr>
          <w:sz w:val="24"/>
          <w:szCs w:val="24"/>
        </w:rPr>
        <w:t>И</w:t>
      </w:r>
      <w:r w:rsidRPr="00086CAC">
        <w:rPr>
          <w:sz w:val="24"/>
          <w:szCs w:val="24"/>
        </w:rPr>
        <w:t>сходя из динамики данного показателя в текущем году</w:t>
      </w:r>
      <w:r w:rsidR="00BE6173">
        <w:rPr>
          <w:sz w:val="24"/>
          <w:szCs w:val="24"/>
        </w:rPr>
        <w:t xml:space="preserve"> ч</w:t>
      </w:r>
      <w:r w:rsidR="00BE6173" w:rsidRPr="00BE6173">
        <w:rPr>
          <w:sz w:val="24"/>
          <w:szCs w:val="24"/>
        </w:rPr>
        <w:t>исленность родившихся</w:t>
      </w:r>
      <w:r w:rsidRPr="00086CAC">
        <w:rPr>
          <w:sz w:val="24"/>
          <w:szCs w:val="24"/>
        </w:rPr>
        <w:t xml:space="preserve"> ожидается, на уровне 6,2 тыс. человек, а численность умерших составит</w:t>
      </w:r>
      <w:r w:rsidR="00BE6173">
        <w:rPr>
          <w:sz w:val="24"/>
          <w:szCs w:val="24"/>
        </w:rPr>
        <w:t>,</w:t>
      </w:r>
      <w:r w:rsidRPr="00086CAC">
        <w:rPr>
          <w:sz w:val="24"/>
          <w:szCs w:val="24"/>
        </w:rPr>
        <w:t xml:space="preserve"> по оценке</w:t>
      </w:r>
      <w:r w:rsidR="00BE6173">
        <w:rPr>
          <w:sz w:val="24"/>
          <w:szCs w:val="24"/>
        </w:rPr>
        <w:t>,</w:t>
      </w:r>
      <w:r w:rsidRPr="00086CAC">
        <w:rPr>
          <w:sz w:val="24"/>
          <w:szCs w:val="24"/>
        </w:rPr>
        <w:t xml:space="preserve"> 7,9 тыс. человек. Таким образом, естественная убыль скорректирована до уровня -1,7 тыс. человек</w:t>
      </w:r>
      <w:r>
        <w:rPr>
          <w:sz w:val="24"/>
          <w:szCs w:val="24"/>
        </w:rPr>
        <w:t>, что является средним значением между консервативным, базовым и целевым вариантами прогноза на 2019 год.</w:t>
      </w:r>
    </w:p>
    <w:p w:rsidR="00B52AF1" w:rsidRPr="00062D97" w:rsidRDefault="00B52AF1" w:rsidP="00BE6173">
      <w:pPr>
        <w:pStyle w:val="aff0"/>
        <w:spacing w:line="276" w:lineRule="auto"/>
        <w:rPr>
          <w:color w:val="000000"/>
          <w:sz w:val="24"/>
          <w:szCs w:val="24"/>
          <w:lang w:eastAsia="ru-RU"/>
        </w:rPr>
      </w:pPr>
      <w:r w:rsidRPr="00086CAC">
        <w:rPr>
          <w:bCs/>
          <w:sz w:val="24"/>
          <w:szCs w:val="24"/>
          <w:lang w:eastAsia="ru-RU"/>
        </w:rPr>
        <w:t xml:space="preserve">Оценка миграционной убыли на 2019 год </w:t>
      </w:r>
      <w:r w:rsidR="00E9409B">
        <w:rPr>
          <w:bCs/>
          <w:sz w:val="24"/>
          <w:szCs w:val="24"/>
          <w:lang w:eastAsia="ru-RU"/>
        </w:rPr>
        <w:t>скорректирована в сторону увеличения и оценивается</w:t>
      </w:r>
      <w:r w:rsidRPr="00086CAC">
        <w:rPr>
          <w:bCs/>
          <w:sz w:val="24"/>
          <w:szCs w:val="24"/>
          <w:lang w:eastAsia="ru-RU"/>
        </w:rPr>
        <w:t xml:space="preserve"> на </w:t>
      </w:r>
      <w:r w:rsidRPr="00086CAC">
        <w:rPr>
          <w:sz w:val="24"/>
          <w:szCs w:val="24"/>
        </w:rPr>
        <w:t>уровне -4,0 тыс. человек</w:t>
      </w:r>
      <w:r>
        <w:rPr>
          <w:sz w:val="24"/>
          <w:szCs w:val="24"/>
        </w:rPr>
        <w:t xml:space="preserve"> (130,2%</w:t>
      </w:r>
      <w:r w:rsidR="00E9409B">
        <w:rPr>
          <w:sz w:val="24"/>
          <w:szCs w:val="24"/>
        </w:rPr>
        <w:t xml:space="preserve"> к 2018 году</w:t>
      </w:r>
      <w:r>
        <w:rPr>
          <w:sz w:val="24"/>
          <w:szCs w:val="24"/>
        </w:rPr>
        <w:t>)</w:t>
      </w:r>
      <w:r w:rsidRPr="00086CAC">
        <w:rPr>
          <w:sz w:val="24"/>
          <w:szCs w:val="24"/>
        </w:rPr>
        <w:t xml:space="preserve">. </w:t>
      </w:r>
    </w:p>
    <w:p w:rsidR="00B52AF1" w:rsidRPr="00443EE9" w:rsidRDefault="00B52AF1" w:rsidP="00B52AF1">
      <w:pPr>
        <w:pStyle w:val="af5"/>
        <w:spacing w:line="276" w:lineRule="auto"/>
        <w:ind w:right="0" w:firstLine="709"/>
        <w:rPr>
          <w:szCs w:val="24"/>
        </w:rPr>
      </w:pPr>
      <w:r>
        <w:rPr>
          <w:szCs w:val="24"/>
        </w:rPr>
        <w:t>Таким образом, с</w:t>
      </w:r>
      <w:r w:rsidRPr="00086CAC">
        <w:rPr>
          <w:szCs w:val="24"/>
        </w:rPr>
        <w:t xml:space="preserve"> учетом </w:t>
      </w:r>
      <w:r w:rsidR="00E9409B">
        <w:rPr>
          <w:szCs w:val="24"/>
        </w:rPr>
        <w:t xml:space="preserve">сложившегося </w:t>
      </w:r>
      <w:r w:rsidRPr="00086CAC">
        <w:rPr>
          <w:szCs w:val="24"/>
        </w:rPr>
        <w:t>естественного и механического прироста среднегодовая численность населения городского округа Тольятти, по оценке, в 2019 году составит 700,0 тыс. человек, что на 0,2% меньше значения показателя консервативного, базового вариантов прогноза, рассчитанного в предыдущем году.</w:t>
      </w:r>
      <w:r w:rsidRPr="00443EE9">
        <w:rPr>
          <w:szCs w:val="24"/>
        </w:rPr>
        <w:t xml:space="preserve"> </w:t>
      </w:r>
    </w:p>
    <w:p w:rsidR="00466830" w:rsidRPr="00443EE9" w:rsidRDefault="00466830" w:rsidP="00466830">
      <w:pPr>
        <w:spacing w:line="276" w:lineRule="auto"/>
        <w:ind w:firstLine="709"/>
        <w:jc w:val="both"/>
        <w:rPr>
          <w:sz w:val="24"/>
          <w:szCs w:val="24"/>
        </w:rPr>
      </w:pPr>
      <w:r w:rsidRPr="00B2485B">
        <w:rPr>
          <w:sz w:val="24"/>
          <w:szCs w:val="24"/>
        </w:rPr>
        <w:t xml:space="preserve">Доля численности </w:t>
      </w:r>
      <w:r w:rsidRPr="00BE6173">
        <w:rPr>
          <w:sz w:val="24"/>
          <w:szCs w:val="24"/>
        </w:rPr>
        <w:t>трудовых ресурсов</w:t>
      </w:r>
      <w:r w:rsidRPr="00B2485B">
        <w:rPr>
          <w:sz w:val="24"/>
          <w:szCs w:val="24"/>
        </w:rPr>
        <w:t xml:space="preserve"> в общей</w:t>
      </w:r>
      <w:r w:rsidRPr="00443EE9">
        <w:rPr>
          <w:sz w:val="24"/>
          <w:szCs w:val="24"/>
        </w:rPr>
        <w:t xml:space="preserve"> численности населения городского округа Тольятти по оценке за 201</w:t>
      </w:r>
      <w:r>
        <w:rPr>
          <w:sz w:val="24"/>
          <w:szCs w:val="24"/>
        </w:rPr>
        <w:t>8</w:t>
      </w:r>
      <w:r w:rsidRPr="00443EE9">
        <w:rPr>
          <w:sz w:val="24"/>
          <w:szCs w:val="24"/>
        </w:rPr>
        <w:t xml:space="preserve"> год составила около 6</w:t>
      </w:r>
      <w:r>
        <w:rPr>
          <w:sz w:val="24"/>
          <w:szCs w:val="24"/>
        </w:rPr>
        <w:t>2</w:t>
      </w:r>
      <w:r w:rsidR="00D0645A">
        <w:rPr>
          <w:sz w:val="24"/>
          <w:szCs w:val="24"/>
        </w:rPr>
        <w:t>,0</w:t>
      </w:r>
      <w:r w:rsidRPr="00443EE9">
        <w:rPr>
          <w:sz w:val="24"/>
          <w:szCs w:val="24"/>
        </w:rPr>
        <w:t>% (в 201</w:t>
      </w:r>
      <w:r>
        <w:rPr>
          <w:sz w:val="24"/>
          <w:szCs w:val="24"/>
        </w:rPr>
        <w:t>7</w:t>
      </w:r>
      <w:r w:rsidRPr="00443EE9">
        <w:rPr>
          <w:sz w:val="24"/>
          <w:szCs w:val="24"/>
        </w:rPr>
        <w:t xml:space="preserve"> году </w:t>
      </w:r>
      <w:r>
        <w:rPr>
          <w:sz w:val="24"/>
          <w:szCs w:val="24"/>
        </w:rPr>
        <w:t>–</w:t>
      </w:r>
      <w:r w:rsidRPr="00443EE9">
        <w:rPr>
          <w:sz w:val="24"/>
          <w:szCs w:val="24"/>
        </w:rPr>
        <w:t xml:space="preserve"> 6</w:t>
      </w:r>
      <w:r>
        <w:rPr>
          <w:sz w:val="24"/>
          <w:szCs w:val="24"/>
        </w:rPr>
        <w:t>2,7</w:t>
      </w:r>
      <w:r w:rsidRPr="00443EE9">
        <w:rPr>
          <w:sz w:val="24"/>
          <w:szCs w:val="24"/>
        </w:rPr>
        <w:t>%).</w:t>
      </w:r>
    </w:p>
    <w:p w:rsidR="00466830" w:rsidRPr="00443EE9" w:rsidRDefault="00466830" w:rsidP="00466830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Численность занятых в экономике по итогам 201</w:t>
      </w:r>
      <w:r>
        <w:rPr>
          <w:sz w:val="24"/>
          <w:szCs w:val="24"/>
        </w:rPr>
        <w:t>8</w:t>
      </w:r>
      <w:r w:rsidRPr="00443EE9">
        <w:rPr>
          <w:sz w:val="24"/>
          <w:szCs w:val="24"/>
        </w:rPr>
        <w:t xml:space="preserve"> года </w:t>
      </w:r>
      <w:r w:rsidR="00BE6173">
        <w:rPr>
          <w:sz w:val="24"/>
          <w:szCs w:val="24"/>
        </w:rPr>
        <w:t>-</w:t>
      </w:r>
      <w:r w:rsidRPr="00443EE9">
        <w:rPr>
          <w:sz w:val="24"/>
          <w:szCs w:val="24"/>
        </w:rPr>
        <w:t xml:space="preserve"> 3</w:t>
      </w:r>
      <w:r>
        <w:rPr>
          <w:sz w:val="24"/>
          <w:szCs w:val="24"/>
        </w:rPr>
        <w:t>64,0</w:t>
      </w:r>
      <w:r w:rsidRPr="00443EE9">
        <w:rPr>
          <w:sz w:val="24"/>
          <w:szCs w:val="24"/>
        </w:rPr>
        <w:t xml:space="preserve"> тыс. человек, что на </w:t>
      </w:r>
      <w:r>
        <w:rPr>
          <w:sz w:val="24"/>
          <w:szCs w:val="24"/>
        </w:rPr>
        <w:t>2,0</w:t>
      </w:r>
      <w:r w:rsidRPr="00443EE9">
        <w:rPr>
          <w:sz w:val="24"/>
          <w:szCs w:val="24"/>
        </w:rPr>
        <w:t xml:space="preserve"> тыс. человек (</w:t>
      </w:r>
      <w:r>
        <w:rPr>
          <w:sz w:val="24"/>
          <w:szCs w:val="24"/>
        </w:rPr>
        <w:t>0,5</w:t>
      </w:r>
      <w:r w:rsidRPr="00443EE9">
        <w:rPr>
          <w:sz w:val="24"/>
          <w:szCs w:val="24"/>
        </w:rPr>
        <w:t>%) меньше 201</w:t>
      </w:r>
      <w:r>
        <w:rPr>
          <w:sz w:val="24"/>
          <w:szCs w:val="24"/>
        </w:rPr>
        <w:t>7</w:t>
      </w:r>
      <w:r w:rsidRPr="00443EE9">
        <w:rPr>
          <w:sz w:val="24"/>
          <w:szCs w:val="24"/>
        </w:rPr>
        <w:t xml:space="preserve"> года. Снижение данного показателя обусловлено, прежде всего, сокращением численности населения трудоспособного возраста.</w:t>
      </w:r>
    </w:p>
    <w:p w:rsidR="00466830" w:rsidRPr="00443EE9" w:rsidRDefault="00466830" w:rsidP="00466830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</w:t>
      </w:r>
      <w:r w:rsidRPr="00443EE9">
        <w:rPr>
          <w:sz w:val="24"/>
          <w:szCs w:val="24"/>
        </w:rPr>
        <w:t>енее половины (4</w:t>
      </w:r>
      <w:r>
        <w:rPr>
          <w:sz w:val="24"/>
          <w:szCs w:val="24"/>
        </w:rPr>
        <w:t>3,3</w:t>
      </w:r>
      <w:r w:rsidRPr="00443EE9">
        <w:rPr>
          <w:sz w:val="24"/>
          <w:szCs w:val="24"/>
        </w:rPr>
        <w:t>%) заняты на предприятиях, не относящи</w:t>
      </w:r>
      <w:r w:rsidR="00E9409B">
        <w:rPr>
          <w:sz w:val="24"/>
          <w:szCs w:val="24"/>
        </w:rPr>
        <w:t>м</w:t>
      </w:r>
      <w:r w:rsidRPr="00443EE9">
        <w:rPr>
          <w:sz w:val="24"/>
          <w:szCs w:val="24"/>
        </w:rPr>
        <w:t>ся к субъектам малого предпринимательства.</w:t>
      </w:r>
    </w:p>
    <w:p w:rsidR="00466830" w:rsidRDefault="00466830" w:rsidP="00466830">
      <w:pPr>
        <w:pStyle w:val="aff0"/>
        <w:spacing w:line="276" w:lineRule="auto"/>
        <w:rPr>
          <w:sz w:val="24"/>
          <w:szCs w:val="24"/>
        </w:rPr>
      </w:pPr>
      <w:r w:rsidRPr="009C4AA9">
        <w:rPr>
          <w:bCs/>
          <w:sz w:val="24"/>
          <w:szCs w:val="24"/>
        </w:rPr>
        <w:t xml:space="preserve">В текущем году </w:t>
      </w:r>
      <w:r>
        <w:rPr>
          <w:bCs/>
          <w:sz w:val="24"/>
          <w:szCs w:val="24"/>
        </w:rPr>
        <w:t>с</w:t>
      </w:r>
      <w:r w:rsidRPr="00F357EB">
        <w:rPr>
          <w:sz w:val="24"/>
          <w:szCs w:val="24"/>
        </w:rPr>
        <w:t xml:space="preserve">реднесписочная численность </w:t>
      </w:r>
      <w:r w:rsidRPr="009C4AA9">
        <w:rPr>
          <w:bCs/>
          <w:sz w:val="24"/>
          <w:szCs w:val="24"/>
        </w:rPr>
        <w:t>работников организаций</w:t>
      </w:r>
      <w:r w:rsidRPr="00F357EB">
        <w:rPr>
          <w:sz w:val="24"/>
          <w:szCs w:val="24"/>
        </w:rPr>
        <w:t>, не относящихся к субъектам малого предпринимательства</w:t>
      </w:r>
      <w:r>
        <w:rPr>
          <w:sz w:val="24"/>
          <w:szCs w:val="24"/>
        </w:rPr>
        <w:t>,</w:t>
      </w:r>
      <w:r w:rsidRPr="009D24FF">
        <w:rPr>
          <w:bCs/>
          <w:sz w:val="24"/>
          <w:szCs w:val="24"/>
        </w:rPr>
        <w:t xml:space="preserve"> </w:t>
      </w:r>
      <w:r w:rsidRPr="009C4AA9">
        <w:rPr>
          <w:bCs/>
          <w:sz w:val="24"/>
          <w:szCs w:val="24"/>
        </w:rPr>
        <w:t>продолжает снижаться</w:t>
      </w:r>
      <w:r>
        <w:rPr>
          <w:bCs/>
          <w:sz w:val="24"/>
          <w:szCs w:val="24"/>
        </w:rPr>
        <w:t>:</w:t>
      </w:r>
      <w:r w:rsidRPr="00F357EB">
        <w:rPr>
          <w:sz w:val="24"/>
          <w:szCs w:val="24"/>
        </w:rPr>
        <w:t xml:space="preserve"> по итогам 1 полугодия 2019 года относительно показателя предыдущего года уменьшилась на 1,4% и составила 153,9 тыс. </w:t>
      </w:r>
      <w:r w:rsidRPr="00443EE9">
        <w:rPr>
          <w:sz w:val="24"/>
          <w:szCs w:val="24"/>
        </w:rPr>
        <w:t>человек</w:t>
      </w:r>
      <w:r w:rsidRPr="00F357EB">
        <w:rPr>
          <w:sz w:val="24"/>
          <w:szCs w:val="24"/>
        </w:rPr>
        <w:t>.</w:t>
      </w:r>
    </w:p>
    <w:p w:rsidR="00466830" w:rsidRPr="00F357EB" w:rsidRDefault="00466830" w:rsidP="00466830">
      <w:pPr>
        <w:pStyle w:val="aff0"/>
        <w:spacing w:line="276" w:lineRule="auto"/>
        <w:rPr>
          <w:sz w:val="24"/>
          <w:szCs w:val="24"/>
        </w:rPr>
      </w:pPr>
      <w:r w:rsidRPr="00F357EB">
        <w:rPr>
          <w:sz w:val="24"/>
          <w:szCs w:val="24"/>
        </w:rPr>
        <w:t xml:space="preserve">Наиболее значительное уменьшение персонала произошло на предприятиях, осуществляющих деятельность по операциям с недвижимым имуществом – на 48,9%,  деятельность административную и сопутствующие дополнительные услуги – на 15,4%, деятельность гостиниц и предприятий общественного питания – на 6,3%. На предприятиях обрабатывающих производств численность работников уменьшилась на 0,7%. </w:t>
      </w:r>
    </w:p>
    <w:p w:rsidR="00466830" w:rsidRPr="00F357EB" w:rsidRDefault="00466830" w:rsidP="00466830">
      <w:pPr>
        <w:pStyle w:val="aff0"/>
        <w:spacing w:line="276" w:lineRule="auto"/>
        <w:rPr>
          <w:sz w:val="24"/>
          <w:szCs w:val="24"/>
        </w:rPr>
      </w:pPr>
      <w:r w:rsidRPr="00F357EB">
        <w:rPr>
          <w:sz w:val="24"/>
          <w:szCs w:val="24"/>
        </w:rPr>
        <w:t xml:space="preserve">Наибольший прирост численности работников в </w:t>
      </w:r>
      <w:r w:rsidR="00BE6173">
        <w:rPr>
          <w:sz w:val="24"/>
          <w:szCs w:val="24"/>
        </w:rPr>
        <w:t>1 полугодии 2019 года</w:t>
      </w:r>
      <w:r w:rsidRPr="00F357EB">
        <w:rPr>
          <w:sz w:val="24"/>
          <w:szCs w:val="24"/>
        </w:rPr>
        <w:t xml:space="preserve"> относительно предыдущего года отмечается на предприятиях, осуществляющих деятельность в области информации и связи</w:t>
      </w:r>
      <w:r>
        <w:rPr>
          <w:sz w:val="24"/>
          <w:szCs w:val="24"/>
        </w:rPr>
        <w:t xml:space="preserve"> </w:t>
      </w:r>
      <w:r w:rsidRPr="00F357EB">
        <w:rPr>
          <w:sz w:val="24"/>
          <w:szCs w:val="24"/>
        </w:rPr>
        <w:t>– на 24,4%, деятельность профессиональную, научную и техническую – на 19,5%, в строительстве – на 17,2%, финансовой и страховой деятельности – на 13,7%.</w:t>
      </w:r>
    </w:p>
    <w:p w:rsidR="00466830" w:rsidRPr="00456C39" w:rsidRDefault="00466830" w:rsidP="00456C39">
      <w:pPr>
        <w:pStyle w:val="af5"/>
        <w:spacing w:line="276" w:lineRule="auto"/>
        <w:ind w:right="0" w:firstLine="709"/>
        <w:rPr>
          <w:szCs w:val="24"/>
        </w:rPr>
      </w:pPr>
      <w:r w:rsidRPr="00456C39">
        <w:rPr>
          <w:szCs w:val="24"/>
        </w:rPr>
        <w:t xml:space="preserve">По данным ГКУСО «Центр занятости населения городского округа Тольятти»  (далее по разделу – Центр занятости населения) численность зарегистрированных безработных </w:t>
      </w:r>
      <w:r w:rsidR="00456C39" w:rsidRPr="00456C39">
        <w:rPr>
          <w:szCs w:val="24"/>
        </w:rPr>
        <w:t xml:space="preserve">граждан </w:t>
      </w:r>
      <w:r w:rsidRPr="00456C39">
        <w:rPr>
          <w:szCs w:val="24"/>
        </w:rPr>
        <w:t>по состоянию на 01.07.2019 составила 3,7 тыс. человек</w:t>
      </w:r>
      <w:r w:rsidR="00456C39" w:rsidRPr="00456C39">
        <w:rPr>
          <w:szCs w:val="24"/>
        </w:rPr>
        <w:t xml:space="preserve">, что на </w:t>
      </w:r>
      <w:r w:rsidRPr="00456C39">
        <w:rPr>
          <w:szCs w:val="24"/>
        </w:rPr>
        <w:t xml:space="preserve"> 4,0%  меньше показателя </w:t>
      </w:r>
      <w:r w:rsidR="00456C39" w:rsidRPr="00456C39">
        <w:rPr>
          <w:szCs w:val="24"/>
        </w:rPr>
        <w:t>аналогичного периода прошлого года</w:t>
      </w:r>
      <w:r w:rsidRPr="00456C39">
        <w:rPr>
          <w:szCs w:val="24"/>
        </w:rPr>
        <w:t xml:space="preserve"> (3,8 тыс. чел</w:t>
      </w:r>
      <w:r w:rsidR="00BE6173">
        <w:rPr>
          <w:szCs w:val="24"/>
        </w:rPr>
        <w:t>овек</w:t>
      </w:r>
      <w:r w:rsidRPr="00456C39">
        <w:rPr>
          <w:szCs w:val="24"/>
        </w:rPr>
        <w:t xml:space="preserve">). Уровень безработицы относительно показателя предыдущего года снизился на 0,04 </w:t>
      </w:r>
      <w:r w:rsidR="00456C39" w:rsidRPr="00456C39">
        <w:rPr>
          <w:szCs w:val="24"/>
        </w:rPr>
        <w:t>процентных пункта</w:t>
      </w:r>
      <w:r w:rsidRPr="00456C39">
        <w:rPr>
          <w:szCs w:val="24"/>
        </w:rPr>
        <w:t xml:space="preserve"> и составил 0,92% (в среднем по Самарской области – 0,86%). Среди городских округов Самарской области городской округ </w:t>
      </w:r>
      <w:r w:rsidRPr="003935C4">
        <w:rPr>
          <w:szCs w:val="24"/>
        </w:rPr>
        <w:t xml:space="preserve">Тольятти по состоянию на </w:t>
      </w:r>
      <w:r w:rsidR="00BE6173">
        <w:rPr>
          <w:szCs w:val="24"/>
        </w:rPr>
        <w:t>01</w:t>
      </w:r>
      <w:r w:rsidRPr="003935C4">
        <w:rPr>
          <w:szCs w:val="24"/>
        </w:rPr>
        <w:t>.</w:t>
      </w:r>
      <w:r w:rsidR="00BE6173">
        <w:rPr>
          <w:szCs w:val="24"/>
        </w:rPr>
        <w:t>07</w:t>
      </w:r>
      <w:r w:rsidRPr="003935C4">
        <w:rPr>
          <w:szCs w:val="24"/>
        </w:rPr>
        <w:t xml:space="preserve">.2019 занял пятое место (на </w:t>
      </w:r>
      <w:r w:rsidR="00BE6173">
        <w:rPr>
          <w:szCs w:val="24"/>
        </w:rPr>
        <w:t>01</w:t>
      </w:r>
      <w:r w:rsidRPr="003935C4">
        <w:rPr>
          <w:szCs w:val="24"/>
        </w:rPr>
        <w:t>.0</w:t>
      </w:r>
      <w:r w:rsidR="00BE6173">
        <w:rPr>
          <w:szCs w:val="24"/>
        </w:rPr>
        <w:t>7</w:t>
      </w:r>
      <w:r w:rsidRPr="003935C4">
        <w:rPr>
          <w:szCs w:val="24"/>
        </w:rPr>
        <w:t>.2018 – шестое место).</w:t>
      </w:r>
      <w:r w:rsidRPr="00456C39">
        <w:rPr>
          <w:szCs w:val="24"/>
        </w:rPr>
        <w:t xml:space="preserve"> </w:t>
      </w:r>
    </w:p>
    <w:p w:rsidR="00466830" w:rsidRPr="00503A0F" w:rsidRDefault="00466830" w:rsidP="00466830">
      <w:pPr>
        <w:pStyle w:val="af5"/>
        <w:spacing w:line="276" w:lineRule="auto"/>
        <w:ind w:right="0" w:firstLine="709"/>
        <w:rPr>
          <w:szCs w:val="24"/>
        </w:rPr>
      </w:pPr>
      <w:r w:rsidRPr="00503A0F">
        <w:rPr>
          <w:szCs w:val="24"/>
        </w:rPr>
        <w:t xml:space="preserve">Доля  длительно неработающих граждан (более 1 года) снизилась до 8,4% против </w:t>
      </w:r>
      <w:r>
        <w:rPr>
          <w:szCs w:val="24"/>
        </w:rPr>
        <w:t xml:space="preserve">значения предыдущего года </w:t>
      </w:r>
      <w:r w:rsidRPr="00503A0F">
        <w:rPr>
          <w:szCs w:val="24"/>
        </w:rPr>
        <w:t xml:space="preserve">13,7% (из числа стоящих на конец отчетного периода). </w:t>
      </w:r>
    </w:p>
    <w:p w:rsidR="00466830" w:rsidRPr="009C4AA9" w:rsidRDefault="00466830" w:rsidP="00466830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9C4AA9">
        <w:rPr>
          <w:bCs/>
          <w:sz w:val="24"/>
          <w:szCs w:val="24"/>
        </w:rPr>
        <w:t>Количество вакансий, предоставляемых работодателями в службу занятости городского округа</w:t>
      </w:r>
      <w:r w:rsidR="00456C39">
        <w:rPr>
          <w:bCs/>
          <w:sz w:val="24"/>
          <w:szCs w:val="24"/>
        </w:rPr>
        <w:t xml:space="preserve"> Тольятти</w:t>
      </w:r>
      <w:r w:rsidRPr="009C4AA9">
        <w:rPr>
          <w:bCs/>
          <w:sz w:val="24"/>
          <w:szCs w:val="24"/>
        </w:rPr>
        <w:t xml:space="preserve">, увеличилось относительно предыдущего года на 22,7%  и составило 7,6 тыс. единиц. </w:t>
      </w:r>
    </w:p>
    <w:p w:rsidR="00466830" w:rsidRPr="009C4AA9" w:rsidRDefault="00466830" w:rsidP="00466830">
      <w:pPr>
        <w:spacing w:line="276" w:lineRule="auto"/>
        <w:ind w:firstLine="709"/>
        <w:jc w:val="both"/>
        <w:rPr>
          <w:bCs/>
          <w:sz w:val="24"/>
          <w:szCs w:val="24"/>
          <w:lang w:eastAsia="ru-RU"/>
        </w:rPr>
      </w:pPr>
      <w:r w:rsidRPr="00CE60D4">
        <w:rPr>
          <w:sz w:val="24"/>
          <w:szCs w:val="24"/>
        </w:rPr>
        <w:t>Вследствие снижения</w:t>
      </w:r>
      <w:r w:rsidRPr="00443EE9">
        <w:rPr>
          <w:sz w:val="24"/>
          <w:szCs w:val="24"/>
        </w:rPr>
        <w:t xml:space="preserve"> количества безработных и роста числа вакансий нагрузка на одну вакансию </w:t>
      </w:r>
      <w:r w:rsidRPr="009C4AA9">
        <w:rPr>
          <w:bCs/>
          <w:sz w:val="24"/>
          <w:szCs w:val="24"/>
          <w:lang w:eastAsia="ru-RU"/>
        </w:rPr>
        <w:t xml:space="preserve">на конец июня 2019 года </w:t>
      </w:r>
      <w:r w:rsidRPr="00443EE9">
        <w:rPr>
          <w:sz w:val="24"/>
          <w:szCs w:val="24"/>
        </w:rPr>
        <w:t>снизилась до уровня 0,</w:t>
      </w:r>
      <w:r>
        <w:rPr>
          <w:sz w:val="24"/>
          <w:szCs w:val="24"/>
        </w:rPr>
        <w:t>5</w:t>
      </w:r>
      <w:r w:rsidRPr="00443EE9">
        <w:rPr>
          <w:sz w:val="24"/>
          <w:szCs w:val="24"/>
        </w:rPr>
        <w:t xml:space="preserve"> человек</w:t>
      </w:r>
      <w:r w:rsidRPr="009C4AA9">
        <w:rPr>
          <w:bCs/>
          <w:sz w:val="24"/>
          <w:szCs w:val="24"/>
          <w:lang w:eastAsia="ru-RU"/>
        </w:rPr>
        <w:t>, что ниже уровня предыдущего года (на 01.07.2018 – 0,6 чел</w:t>
      </w:r>
      <w:r w:rsidR="00BE6173">
        <w:rPr>
          <w:bCs/>
          <w:sz w:val="24"/>
          <w:szCs w:val="24"/>
          <w:lang w:eastAsia="ru-RU"/>
        </w:rPr>
        <w:t>овек</w:t>
      </w:r>
      <w:r w:rsidRPr="009C4AA9">
        <w:rPr>
          <w:bCs/>
          <w:sz w:val="24"/>
          <w:szCs w:val="24"/>
          <w:lang w:eastAsia="ru-RU"/>
        </w:rPr>
        <w:t xml:space="preserve">). </w:t>
      </w:r>
    </w:p>
    <w:p w:rsidR="00466830" w:rsidRPr="00846FCF" w:rsidRDefault="00466830" w:rsidP="00466830">
      <w:pPr>
        <w:pStyle w:val="aff0"/>
        <w:spacing w:line="276" w:lineRule="auto"/>
        <w:rPr>
          <w:sz w:val="24"/>
          <w:szCs w:val="24"/>
        </w:rPr>
      </w:pPr>
      <w:r w:rsidRPr="00846FCF">
        <w:rPr>
          <w:sz w:val="24"/>
          <w:szCs w:val="24"/>
        </w:rPr>
        <w:t>По сведениям Центра занятости населения  по итогам 1 полугодия текущего года было высвобождено по причине сокращения штатов 550 человек (98 предприятий), что в 1,5 раза меньше прошлогоднего показателя. Высвобождения работников наблюдались на предприятиях торговли, банковской сферы, автомобильной и химической отраслей.</w:t>
      </w:r>
    </w:p>
    <w:p w:rsidR="00466830" w:rsidRDefault="00466830" w:rsidP="00466830">
      <w:pPr>
        <w:pStyle w:val="aff0"/>
        <w:spacing w:line="276" w:lineRule="auto"/>
        <w:rPr>
          <w:sz w:val="24"/>
          <w:szCs w:val="24"/>
        </w:rPr>
      </w:pPr>
      <w:r w:rsidRPr="00846FCF">
        <w:rPr>
          <w:sz w:val="24"/>
          <w:szCs w:val="24"/>
        </w:rPr>
        <w:t xml:space="preserve"> Доля работников, уволенных по причине сокращения штатов в общем числе ранее работавших безработных, снизилась с 18,1% в 1 полугодии 2018 года до 8,6% в 1 полугодии текущего года.</w:t>
      </w:r>
    </w:p>
    <w:p w:rsidR="00466830" w:rsidRPr="00CA7579" w:rsidRDefault="00466830" w:rsidP="00466830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CA7579">
        <w:rPr>
          <w:bCs/>
          <w:sz w:val="24"/>
          <w:szCs w:val="24"/>
        </w:rPr>
        <w:t xml:space="preserve">При этом, предприятия города известили Центр занятости </w:t>
      </w:r>
      <w:r w:rsidR="00456C39">
        <w:rPr>
          <w:bCs/>
          <w:sz w:val="24"/>
          <w:szCs w:val="24"/>
        </w:rPr>
        <w:t>населения</w:t>
      </w:r>
      <w:r w:rsidRPr="00CA7579">
        <w:rPr>
          <w:bCs/>
          <w:sz w:val="24"/>
          <w:szCs w:val="24"/>
        </w:rPr>
        <w:t xml:space="preserve"> о предстоящем высвобождении во 2 полугодии 2019 года более 800 работников.</w:t>
      </w:r>
    </w:p>
    <w:p w:rsidR="00466830" w:rsidRPr="00443EE9" w:rsidRDefault="00466830" w:rsidP="00466830">
      <w:pPr>
        <w:spacing w:line="276" w:lineRule="auto"/>
        <w:ind w:firstLine="709"/>
        <w:jc w:val="both"/>
        <w:rPr>
          <w:sz w:val="24"/>
          <w:szCs w:val="24"/>
        </w:rPr>
      </w:pPr>
      <w:r w:rsidRPr="00CA7579">
        <w:rPr>
          <w:sz w:val="24"/>
          <w:szCs w:val="24"/>
        </w:rPr>
        <w:t>Масштабы скрытой безработицы относительно предыдущего года незначительно</w:t>
      </w:r>
      <w:r w:rsidRPr="00846FCF">
        <w:rPr>
          <w:sz w:val="24"/>
          <w:szCs w:val="24"/>
        </w:rPr>
        <w:t xml:space="preserve"> увеличились. На 01.07.2019 11 предприятий работало в  режиме неполного рабочего времени, временной приостановки работы (простое) (на 01.07.2018 - 10 предприятий). </w:t>
      </w:r>
      <w:r w:rsidRPr="00846FCF">
        <w:rPr>
          <w:sz w:val="24"/>
          <w:szCs w:val="24"/>
        </w:rPr>
        <w:lastRenderedPageBreak/>
        <w:t>Количество работников, работающих в режиме неполной занятости</w:t>
      </w:r>
      <w:r w:rsidR="00456C39">
        <w:rPr>
          <w:sz w:val="24"/>
          <w:szCs w:val="24"/>
        </w:rPr>
        <w:t>,</w:t>
      </w:r>
      <w:r w:rsidRPr="00846FCF">
        <w:rPr>
          <w:sz w:val="24"/>
          <w:szCs w:val="24"/>
        </w:rPr>
        <w:t xml:space="preserve"> составило 0,5 тыс. человек (на 01.07.2018 - 0,2 тыс. чел</w:t>
      </w:r>
      <w:r w:rsidR="00BE6173">
        <w:rPr>
          <w:sz w:val="24"/>
          <w:szCs w:val="24"/>
        </w:rPr>
        <w:t>овек</w:t>
      </w:r>
      <w:r w:rsidRPr="00846FCF">
        <w:rPr>
          <w:sz w:val="24"/>
          <w:szCs w:val="24"/>
        </w:rPr>
        <w:t>).</w:t>
      </w:r>
      <w:r w:rsidRPr="00443EE9">
        <w:rPr>
          <w:sz w:val="24"/>
          <w:szCs w:val="24"/>
        </w:rPr>
        <w:t xml:space="preserve"> </w:t>
      </w:r>
    </w:p>
    <w:p w:rsidR="00466830" w:rsidRPr="00272A23" w:rsidRDefault="00466830" w:rsidP="00466830">
      <w:pPr>
        <w:spacing w:line="276" w:lineRule="auto"/>
        <w:ind w:firstLine="709"/>
        <w:jc w:val="both"/>
        <w:rPr>
          <w:sz w:val="24"/>
          <w:szCs w:val="24"/>
        </w:rPr>
      </w:pPr>
      <w:r w:rsidRPr="00272A23">
        <w:rPr>
          <w:sz w:val="24"/>
          <w:szCs w:val="24"/>
        </w:rPr>
        <w:t>Для рынка труда городского округа Тольятти по-прежнему остаются характерными структурные диспропорции между спросом на рабочую силу и ее предложением. Особенно заметна диспропорция среди специалистов и служащих. Так</w:t>
      </w:r>
      <w:r w:rsidR="00456C39">
        <w:rPr>
          <w:sz w:val="24"/>
          <w:szCs w:val="24"/>
        </w:rPr>
        <w:t>,</w:t>
      </w:r>
      <w:r w:rsidRPr="00272A23">
        <w:rPr>
          <w:sz w:val="24"/>
          <w:szCs w:val="24"/>
        </w:rPr>
        <w:t xml:space="preserve"> в предложении рабочей силы значительную долю составляют менеджеры, инженеры, бухгалтеры, агенты, администраторы и т.д. А предприятиям города требуются врачи, медицинские сестры,  учителя,  воспитатели и т.д.  </w:t>
      </w:r>
    </w:p>
    <w:p w:rsidR="00466830" w:rsidRPr="003C488E" w:rsidRDefault="00466830" w:rsidP="00466830">
      <w:pPr>
        <w:pStyle w:val="af5"/>
        <w:spacing w:line="276" w:lineRule="auto"/>
        <w:ind w:right="0" w:firstLine="709"/>
        <w:rPr>
          <w:szCs w:val="24"/>
        </w:rPr>
      </w:pPr>
      <w:r w:rsidRPr="003C488E">
        <w:rPr>
          <w:szCs w:val="24"/>
        </w:rPr>
        <w:t>В целях стабилизации ситуации на рынке труда города продолжилась работа в рамках государственных программ по содействию занятости населения и снижению напряженности на рынке труда, муниципальных программ по развитию малого и среднего предпринимательства и временному трудоустройству  молодежи.</w:t>
      </w:r>
    </w:p>
    <w:p w:rsidR="00BE6173" w:rsidRDefault="00BE6173" w:rsidP="00466830">
      <w:pPr>
        <w:spacing w:line="276" w:lineRule="auto"/>
        <w:ind w:firstLine="709"/>
        <w:jc w:val="both"/>
        <w:rPr>
          <w:sz w:val="24"/>
          <w:szCs w:val="24"/>
        </w:rPr>
      </w:pPr>
      <w:r w:rsidRPr="00BE6173">
        <w:rPr>
          <w:sz w:val="24"/>
          <w:szCs w:val="24"/>
        </w:rPr>
        <w:t>По данным органов статистики, за 1 полугодие 2019 года в организациях, не относящихся к субъектам малого предпринимательства, создано 1,3 тыс. новых рабочих мест.</w:t>
      </w:r>
    </w:p>
    <w:p w:rsidR="00680A03" w:rsidRDefault="00680A03" w:rsidP="00466830">
      <w:pPr>
        <w:spacing w:line="276" w:lineRule="auto"/>
        <w:ind w:firstLine="709"/>
        <w:jc w:val="both"/>
        <w:rPr>
          <w:sz w:val="24"/>
          <w:szCs w:val="24"/>
        </w:rPr>
      </w:pPr>
      <w:r w:rsidRPr="00680A03">
        <w:rPr>
          <w:sz w:val="24"/>
          <w:szCs w:val="24"/>
        </w:rPr>
        <w:t>Центром занятости населения трудоустроено 4,2 тыс. человек, что на 10,1% больше показателя предыдущего года.</w:t>
      </w:r>
    </w:p>
    <w:p w:rsidR="00466830" w:rsidRPr="00101706" w:rsidRDefault="00466830" w:rsidP="00466830">
      <w:pPr>
        <w:spacing w:line="276" w:lineRule="auto"/>
        <w:ind w:firstLine="709"/>
        <w:jc w:val="both"/>
        <w:rPr>
          <w:sz w:val="24"/>
          <w:szCs w:val="24"/>
        </w:rPr>
      </w:pPr>
      <w:r w:rsidRPr="003C488E">
        <w:rPr>
          <w:sz w:val="24"/>
          <w:szCs w:val="24"/>
        </w:rPr>
        <w:t>В рамках государственной Программы содействия занятости населения Самарской области на 2014-2020 годы в городском округе Тольятти в 1 полугодии 2019 года количество созданных временных рабочих мест составило 1,9 тыс. единиц.</w:t>
      </w:r>
    </w:p>
    <w:p w:rsidR="00D8341C" w:rsidRPr="00D8341C" w:rsidRDefault="00D8341C" w:rsidP="00D8341C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D8341C">
        <w:rPr>
          <w:bCs/>
          <w:sz w:val="24"/>
          <w:szCs w:val="24"/>
        </w:rPr>
        <w:t xml:space="preserve">Ведется активная работа по привлечению в город потенциальных инвесторов. Продолжается реализация проекта по развитию ТОСЭР «Тольятти», статус которой, городу присвоен в сентябре 2016 года. По состоянию на  </w:t>
      </w:r>
      <w:r w:rsidR="00D923F6" w:rsidRPr="00D923F6">
        <w:rPr>
          <w:bCs/>
          <w:sz w:val="24"/>
          <w:szCs w:val="24"/>
        </w:rPr>
        <w:t>01</w:t>
      </w:r>
      <w:r w:rsidRPr="00D8341C">
        <w:rPr>
          <w:bCs/>
          <w:sz w:val="24"/>
          <w:szCs w:val="24"/>
        </w:rPr>
        <w:t>.</w:t>
      </w:r>
      <w:r w:rsidR="00D923F6" w:rsidRPr="00D923F6">
        <w:rPr>
          <w:bCs/>
          <w:sz w:val="24"/>
          <w:szCs w:val="24"/>
        </w:rPr>
        <w:t>1</w:t>
      </w:r>
      <w:r w:rsidRPr="00D8341C">
        <w:rPr>
          <w:bCs/>
          <w:sz w:val="24"/>
          <w:szCs w:val="24"/>
        </w:rPr>
        <w:t>0.2019 заключены соглашения на получение статуса  резидентов ТОСЭР «</w:t>
      </w:r>
      <w:r w:rsidRPr="004A47C7">
        <w:rPr>
          <w:bCs/>
          <w:sz w:val="24"/>
          <w:szCs w:val="24"/>
        </w:rPr>
        <w:t>Тольятти» с 76 компаниями, которыми создано 32</w:t>
      </w:r>
      <w:r w:rsidR="00741D16">
        <w:rPr>
          <w:bCs/>
          <w:sz w:val="24"/>
          <w:szCs w:val="24"/>
        </w:rPr>
        <w:t>54</w:t>
      </w:r>
      <w:r w:rsidRPr="004A47C7">
        <w:rPr>
          <w:bCs/>
          <w:sz w:val="24"/>
          <w:szCs w:val="24"/>
        </w:rPr>
        <w:t xml:space="preserve"> новых рабочих мест (всего в результате реализации проектов запланировано создание 8,5 тысяч новых рабочих мест).</w:t>
      </w:r>
    </w:p>
    <w:p w:rsidR="000855F9" w:rsidRDefault="00D8341C" w:rsidP="00D8341C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D8341C">
        <w:rPr>
          <w:bCs/>
          <w:sz w:val="24"/>
          <w:szCs w:val="24"/>
        </w:rPr>
        <w:t>Созданы ряд крупных инфраструктурных площадок, наличие которых обеспечивает снижение расходов хозяйствующих субъектов</w:t>
      </w:r>
      <w:r w:rsidR="00B66A8C">
        <w:rPr>
          <w:bCs/>
          <w:sz w:val="24"/>
          <w:szCs w:val="24"/>
        </w:rPr>
        <w:t xml:space="preserve">, </w:t>
      </w:r>
      <w:r w:rsidRPr="00D8341C">
        <w:rPr>
          <w:bCs/>
          <w:sz w:val="24"/>
          <w:szCs w:val="24"/>
        </w:rPr>
        <w:t>в первую очередь - малых и средних предприятий</w:t>
      </w:r>
      <w:r w:rsidR="00B66A8C">
        <w:rPr>
          <w:bCs/>
          <w:sz w:val="24"/>
          <w:szCs w:val="24"/>
        </w:rPr>
        <w:t xml:space="preserve"> (создано более 3,0 тыс. рабочих мест)</w:t>
      </w:r>
      <w:r w:rsidRPr="00D8341C">
        <w:rPr>
          <w:bCs/>
          <w:sz w:val="24"/>
          <w:szCs w:val="24"/>
        </w:rPr>
        <w:t>.</w:t>
      </w:r>
      <w:r w:rsidR="004A47C7">
        <w:rPr>
          <w:bCs/>
          <w:sz w:val="24"/>
          <w:szCs w:val="24"/>
        </w:rPr>
        <w:t xml:space="preserve"> </w:t>
      </w:r>
    </w:p>
    <w:p w:rsidR="00D8341C" w:rsidRDefault="004A47C7" w:rsidP="00D8341C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 w:rsidR="00D8341C" w:rsidRPr="00D8341C">
        <w:rPr>
          <w:bCs/>
          <w:sz w:val="24"/>
          <w:szCs w:val="24"/>
        </w:rPr>
        <w:t xml:space="preserve"> данны</w:t>
      </w:r>
      <w:r>
        <w:rPr>
          <w:bCs/>
          <w:sz w:val="24"/>
          <w:szCs w:val="24"/>
        </w:rPr>
        <w:t>м</w:t>
      </w:r>
      <w:r w:rsidR="00D8341C" w:rsidRPr="00D8341C">
        <w:rPr>
          <w:bCs/>
          <w:sz w:val="24"/>
          <w:szCs w:val="24"/>
        </w:rPr>
        <w:t xml:space="preserve"> Реестра субъектов малого и среднего предпринимательства, в 1 полугодии 2019 года зарегистрировано 2,3 тыс. новых индивидуальных предпринимателей. </w:t>
      </w:r>
    </w:p>
    <w:p w:rsidR="00680A03" w:rsidRPr="009C4AA9" w:rsidRDefault="00680A03" w:rsidP="00466830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680A03">
        <w:rPr>
          <w:bCs/>
          <w:sz w:val="24"/>
          <w:szCs w:val="24"/>
        </w:rPr>
        <w:t>В ходе реализации муниципальной программы по организации работы с детьми и молодежью в городском округе Тольятти «Молодежь Тольятти» на 2014-2020 гг. за 1 полугодие 2019 года трудоустроено на временные работы 0,8 тыс. несовершеннолетних граждан.</w:t>
      </w:r>
    </w:p>
    <w:p w:rsidR="00466830" w:rsidRPr="00443EE9" w:rsidRDefault="00466830" w:rsidP="00466830">
      <w:pPr>
        <w:pStyle w:val="230"/>
        <w:keepNext/>
        <w:keepLines/>
        <w:numPr>
          <w:ilvl w:val="0"/>
          <w:numId w:val="5"/>
        </w:numPr>
        <w:spacing w:after="0" w:line="276" w:lineRule="auto"/>
        <w:jc w:val="center"/>
        <w:rPr>
          <w:bCs/>
          <w:sz w:val="24"/>
          <w:szCs w:val="24"/>
        </w:rPr>
      </w:pPr>
      <w:r w:rsidRPr="00443EE9">
        <w:rPr>
          <w:bCs/>
          <w:sz w:val="24"/>
          <w:szCs w:val="24"/>
        </w:rPr>
        <w:lastRenderedPageBreak/>
        <w:t xml:space="preserve">Ожидаемое выполнение прогнозных показателей </w:t>
      </w:r>
      <w:r>
        <w:rPr>
          <w:bCs/>
          <w:sz w:val="24"/>
          <w:szCs w:val="24"/>
        </w:rPr>
        <w:t>в сфере занятости населения</w:t>
      </w:r>
      <w:r w:rsidRPr="00443EE9">
        <w:rPr>
          <w:bCs/>
          <w:sz w:val="24"/>
          <w:szCs w:val="24"/>
        </w:rPr>
        <w:t xml:space="preserve"> </w:t>
      </w:r>
    </w:p>
    <w:p w:rsidR="00466830" w:rsidRPr="00443EE9" w:rsidRDefault="00466830" w:rsidP="00466830">
      <w:pPr>
        <w:pStyle w:val="230"/>
        <w:keepNext/>
        <w:keepLines/>
        <w:numPr>
          <w:ilvl w:val="0"/>
          <w:numId w:val="5"/>
        </w:numPr>
        <w:spacing w:after="0" w:line="276" w:lineRule="auto"/>
        <w:jc w:val="center"/>
        <w:rPr>
          <w:bCs/>
          <w:sz w:val="24"/>
          <w:szCs w:val="24"/>
          <w:highlight w:val="lightGray"/>
        </w:rPr>
      </w:pPr>
      <w:r w:rsidRPr="00443EE9">
        <w:rPr>
          <w:bCs/>
          <w:sz w:val="24"/>
          <w:szCs w:val="24"/>
        </w:rPr>
        <w:t>на 201</w:t>
      </w:r>
      <w:r>
        <w:rPr>
          <w:bCs/>
          <w:sz w:val="24"/>
          <w:szCs w:val="24"/>
        </w:rPr>
        <w:t>9</w:t>
      </w:r>
      <w:r w:rsidRPr="00443EE9">
        <w:rPr>
          <w:bCs/>
          <w:sz w:val="24"/>
          <w:szCs w:val="24"/>
        </w:rPr>
        <w:t xml:space="preserve"> год</w:t>
      </w:r>
    </w:p>
    <w:tbl>
      <w:tblPr>
        <w:tblW w:w="9872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919"/>
        <w:gridCol w:w="1559"/>
        <w:gridCol w:w="1559"/>
        <w:gridCol w:w="1418"/>
        <w:gridCol w:w="1417"/>
      </w:tblGrid>
      <w:tr w:rsidR="00466830" w:rsidRPr="00443EE9" w:rsidTr="00493FC3">
        <w:trPr>
          <w:cantSplit/>
          <w:tblHeader/>
        </w:trPr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830" w:rsidRPr="00443EE9" w:rsidRDefault="00466830" w:rsidP="00493FC3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830" w:rsidRPr="00443EE9" w:rsidRDefault="00466830" w:rsidP="00493FC3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830" w:rsidRPr="00443EE9" w:rsidRDefault="00466830" w:rsidP="00493FC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Прогноз на 201</w:t>
            </w:r>
            <w:r>
              <w:rPr>
                <w:sz w:val="24"/>
                <w:szCs w:val="24"/>
              </w:rPr>
              <w:t>9</w:t>
            </w:r>
            <w:r w:rsidRPr="00443E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830" w:rsidRPr="00443EE9" w:rsidRDefault="00466830" w:rsidP="00493FC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43EE9">
              <w:rPr>
                <w:sz w:val="24"/>
                <w:szCs w:val="24"/>
              </w:rPr>
              <w:t xml:space="preserve"> год (оценка)</w:t>
            </w:r>
          </w:p>
        </w:tc>
      </w:tr>
      <w:tr w:rsidR="00466830" w:rsidRPr="00443EE9" w:rsidTr="00493FC3">
        <w:trPr>
          <w:cantSplit/>
          <w:tblHeader/>
        </w:trPr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830" w:rsidRPr="00443EE9" w:rsidRDefault="00466830" w:rsidP="00493FC3">
            <w:pPr>
              <w:keepNext/>
              <w:keepLines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830" w:rsidRPr="00443EE9" w:rsidRDefault="00466830" w:rsidP="00493FC3">
            <w:pPr>
              <w:keepNext/>
              <w:keepLines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830" w:rsidRPr="00443EE9" w:rsidRDefault="00466830" w:rsidP="00493FC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 вариант (</w:t>
            </w:r>
            <w:r>
              <w:rPr>
                <w:sz w:val="24"/>
                <w:szCs w:val="24"/>
              </w:rPr>
              <w:t xml:space="preserve">консервати-вный, </w:t>
            </w:r>
            <w:r w:rsidRPr="00443EE9">
              <w:rPr>
                <w:sz w:val="24"/>
                <w:szCs w:val="24"/>
              </w:rPr>
              <w:t>базовый)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830" w:rsidRPr="00443EE9" w:rsidRDefault="00466830" w:rsidP="00493FC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 вариант</w:t>
            </w:r>
          </w:p>
          <w:p w:rsidR="00466830" w:rsidRPr="00443EE9" w:rsidRDefault="00466830" w:rsidP="00493FC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(целевой)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830" w:rsidRPr="00443EE9" w:rsidRDefault="00466830" w:rsidP="00493FC3">
            <w:pPr>
              <w:keepNext/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66830" w:rsidRPr="00443EE9" w:rsidTr="00493FC3"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830" w:rsidRPr="00443EE9" w:rsidRDefault="00466830" w:rsidP="00493FC3">
            <w:pPr>
              <w:pStyle w:val="230"/>
              <w:keepNext/>
              <w:keepLines/>
              <w:spacing w:after="0" w:line="240" w:lineRule="auto"/>
              <w:ind w:left="0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Трудовые ресурсы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830" w:rsidRPr="00443EE9" w:rsidRDefault="00466830" w:rsidP="00493FC3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830" w:rsidRPr="00443EE9" w:rsidRDefault="00466830" w:rsidP="00493FC3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830" w:rsidRPr="00443EE9" w:rsidRDefault="00466830" w:rsidP="00493FC3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830" w:rsidRPr="00443EE9" w:rsidRDefault="00466830" w:rsidP="00493FC3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431,4</w:t>
            </w:r>
          </w:p>
        </w:tc>
      </w:tr>
      <w:tr w:rsidR="00466830" w:rsidRPr="00443EE9" w:rsidTr="00493FC3">
        <w:trPr>
          <w:trHeight w:val="311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830" w:rsidRPr="00443EE9" w:rsidRDefault="00466830" w:rsidP="00493FC3">
            <w:pPr>
              <w:pStyle w:val="230"/>
              <w:keepNext/>
              <w:keepLines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Среднегодовая численность з</w:t>
            </w:r>
            <w:r w:rsidRPr="00443EE9">
              <w:rPr>
                <w:sz w:val="24"/>
                <w:szCs w:val="24"/>
              </w:rPr>
              <w:t>аняты</w:t>
            </w:r>
            <w:r>
              <w:rPr>
                <w:sz w:val="24"/>
                <w:szCs w:val="24"/>
              </w:rPr>
              <w:t>х</w:t>
            </w:r>
            <w:r w:rsidRPr="00443EE9">
              <w:rPr>
                <w:sz w:val="24"/>
                <w:szCs w:val="24"/>
              </w:rPr>
              <w:t xml:space="preserve"> в экономике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830" w:rsidRPr="00443EE9" w:rsidRDefault="00466830" w:rsidP="00493FC3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830" w:rsidRPr="00443EE9" w:rsidRDefault="00466830" w:rsidP="00493FC3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830" w:rsidRPr="004B7C3B" w:rsidRDefault="00466830" w:rsidP="00493FC3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830" w:rsidRPr="004B7C3B" w:rsidRDefault="00466830" w:rsidP="00493FC3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</w:t>
            </w:r>
          </w:p>
        </w:tc>
      </w:tr>
      <w:tr w:rsidR="00466830" w:rsidRPr="00443EE9" w:rsidTr="00493FC3"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830" w:rsidRPr="00443EE9" w:rsidRDefault="00466830" w:rsidP="00493FC3">
            <w:pPr>
              <w:pStyle w:val="230"/>
              <w:spacing w:after="0" w:line="240" w:lineRule="auto"/>
              <w:ind w:left="0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Уровень официальной безработицы относительно населения в трудоспособном возрасте</w:t>
            </w:r>
            <w:r>
              <w:rPr>
                <w:sz w:val="24"/>
                <w:szCs w:val="24"/>
              </w:rPr>
              <w:t xml:space="preserve"> (среднегодовой)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830" w:rsidRPr="00443EE9" w:rsidRDefault="00466830" w:rsidP="00493FC3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830" w:rsidRPr="00443EE9" w:rsidRDefault="00466830" w:rsidP="00493FC3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830" w:rsidRPr="004B7C3B" w:rsidRDefault="00466830" w:rsidP="00493FC3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830" w:rsidRPr="004B7C3B" w:rsidRDefault="00466830" w:rsidP="00493FC3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</w:tr>
      <w:tr w:rsidR="00466830" w:rsidRPr="00443EE9" w:rsidTr="00493FC3"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830" w:rsidRPr="00443EE9" w:rsidRDefault="00466830" w:rsidP="00493FC3">
            <w:pPr>
              <w:pStyle w:val="230"/>
              <w:spacing w:after="0" w:line="240" w:lineRule="auto"/>
              <w:ind w:left="0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Среднегодовая численность безработных, зарегистрированных в службе занятости</w:t>
            </w:r>
            <w:r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830" w:rsidRPr="00443EE9" w:rsidRDefault="00466830" w:rsidP="00493FC3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830" w:rsidRPr="00443EE9" w:rsidRDefault="00466830" w:rsidP="00493FC3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830" w:rsidRPr="004B7C3B" w:rsidRDefault="00466830" w:rsidP="00493FC3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B7C3B"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830" w:rsidRPr="004B7C3B" w:rsidRDefault="00466830" w:rsidP="00493FC3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</w:tbl>
    <w:p w:rsidR="00466830" w:rsidRPr="00D76F99" w:rsidRDefault="00466830" w:rsidP="00466830">
      <w:pPr>
        <w:pStyle w:val="af5"/>
        <w:tabs>
          <w:tab w:val="left" w:pos="1134"/>
        </w:tabs>
        <w:spacing w:line="276" w:lineRule="auto"/>
        <w:ind w:right="0" w:firstLine="709"/>
        <w:rPr>
          <w:szCs w:val="24"/>
        </w:rPr>
      </w:pPr>
      <w:r w:rsidRPr="00D76F99">
        <w:rPr>
          <w:szCs w:val="24"/>
        </w:rPr>
        <w:t>На основании оперативных данных органов статистики оценочное значение численности трудовых ресурсов на 2019 год составляло по вариантам 440,8 – 441,6 тыс. человек. Однако, с учетом скорректированного органами статистики  фактического значения показателя за 2017 год, оценочные значения показателя за 2018 - 2019 годы снижены, в том числе на 2019 год – до  431,4 тыс. человек (отклонение от первого варианта прогноза на 2,1%).</w:t>
      </w:r>
    </w:p>
    <w:p w:rsidR="00466830" w:rsidRPr="00D76F99" w:rsidRDefault="00466830" w:rsidP="00466830">
      <w:pPr>
        <w:pStyle w:val="af5"/>
        <w:tabs>
          <w:tab w:val="left" w:pos="1134"/>
        </w:tabs>
        <w:spacing w:line="276" w:lineRule="auto"/>
        <w:ind w:right="0" w:firstLine="709"/>
        <w:rPr>
          <w:bCs/>
          <w:szCs w:val="24"/>
        </w:rPr>
      </w:pPr>
      <w:r w:rsidRPr="00D76F99">
        <w:rPr>
          <w:szCs w:val="24"/>
        </w:rPr>
        <w:t>Основным фактором, влияющим на снижение численности трудовых ресурсов городского округа в 2019 году, является тенденция сокращения численности населения трудоспособного возраста (</w:t>
      </w:r>
      <w:r>
        <w:rPr>
          <w:szCs w:val="24"/>
        </w:rPr>
        <w:t xml:space="preserve">по оценке </w:t>
      </w:r>
      <w:r w:rsidRPr="00D76F99">
        <w:rPr>
          <w:szCs w:val="24"/>
        </w:rPr>
        <w:t xml:space="preserve">на 4,6 тыс. человек, или 1,2%). </w:t>
      </w:r>
    </w:p>
    <w:p w:rsidR="00466830" w:rsidRPr="00D76F99" w:rsidRDefault="00466830" w:rsidP="00466830">
      <w:pPr>
        <w:pStyle w:val="af5"/>
        <w:tabs>
          <w:tab w:val="left" w:pos="1134"/>
        </w:tabs>
        <w:spacing w:line="276" w:lineRule="auto"/>
        <w:ind w:right="0" w:firstLine="709"/>
        <w:rPr>
          <w:szCs w:val="24"/>
        </w:rPr>
      </w:pPr>
      <w:r w:rsidRPr="00E0491F">
        <w:rPr>
          <w:szCs w:val="24"/>
        </w:rPr>
        <w:t>Значение показателя  «Число занятых в экономике», согласно прогнозу в 2019 году ожидалось на уровне 366,6 – 369,9 тыс. человек в зависимости от варианта. Однако,  с</w:t>
      </w:r>
      <w:r w:rsidRPr="00D76F99">
        <w:rPr>
          <w:szCs w:val="24"/>
        </w:rPr>
        <w:t xml:space="preserve"> учетом скорректированного органами статистики  фактического значения показателя за 2017 год, оценочные значения показателя за 2018 - 2019 годы снижены, в том числе на 2019 год – до  </w:t>
      </w:r>
      <w:r>
        <w:rPr>
          <w:szCs w:val="24"/>
        </w:rPr>
        <w:t xml:space="preserve">363,3 </w:t>
      </w:r>
      <w:r w:rsidRPr="00D76F99">
        <w:rPr>
          <w:szCs w:val="24"/>
        </w:rPr>
        <w:t xml:space="preserve">тыс. человек (отклонение от первого варианта прогноза </w:t>
      </w:r>
      <w:r w:rsidR="00680A03">
        <w:rPr>
          <w:szCs w:val="24"/>
        </w:rPr>
        <w:t xml:space="preserve">- </w:t>
      </w:r>
      <w:r w:rsidRPr="00D76F99">
        <w:rPr>
          <w:szCs w:val="24"/>
        </w:rPr>
        <w:t xml:space="preserve">на </w:t>
      </w:r>
      <w:r>
        <w:rPr>
          <w:szCs w:val="24"/>
        </w:rPr>
        <w:t>0,9</w:t>
      </w:r>
      <w:r w:rsidRPr="00D76F99">
        <w:rPr>
          <w:szCs w:val="24"/>
        </w:rPr>
        <w:t>%).</w:t>
      </w:r>
    </w:p>
    <w:p w:rsidR="00466830" w:rsidRPr="00E0491F" w:rsidRDefault="00466830" w:rsidP="00466830">
      <w:pPr>
        <w:pStyle w:val="320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E0491F">
        <w:rPr>
          <w:sz w:val="24"/>
          <w:szCs w:val="24"/>
        </w:rPr>
        <w:t xml:space="preserve">Реализация  мер активной политики занятости населения городского округа Тольятти  будет  способствовать сдерживанию темпов роста регистрируемой безработицы и стабилизации  ситуации в сфере занятости до конца 2019 года. </w:t>
      </w:r>
    </w:p>
    <w:p w:rsidR="00466830" w:rsidRPr="00443EE9" w:rsidRDefault="00466830" w:rsidP="00466830">
      <w:pPr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CD7538">
        <w:rPr>
          <w:sz w:val="24"/>
          <w:szCs w:val="24"/>
        </w:rPr>
        <w:t>По оценке, за 2019 год численность зарегистрированных безработных в среднегодовом исчислении может уменьшиться относительно 2018 года с 3,9 тыс. человек до 3,</w:t>
      </w:r>
      <w:r>
        <w:rPr>
          <w:sz w:val="24"/>
          <w:szCs w:val="24"/>
        </w:rPr>
        <w:t>7</w:t>
      </w:r>
      <w:r w:rsidRPr="00CD7538">
        <w:rPr>
          <w:sz w:val="24"/>
          <w:szCs w:val="24"/>
        </w:rPr>
        <w:t xml:space="preserve"> тыс. человек. При этом среднегодовой уровень безработицы ожидается на уровне 0,9</w:t>
      </w:r>
      <w:r>
        <w:rPr>
          <w:sz w:val="24"/>
          <w:szCs w:val="24"/>
        </w:rPr>
        <w:t>5</w:t>
      </w:r>
      <w:r w:rsidRPr="00CD7538">
        <w:rPr>
          <w:sz w:val="24"/>
          <w:szCs w:val="24"/>
        </w:rPr>
        <w:t>%.</w:t>
      </w:r>
      <w:r w:rsidRPr="00443EE9">
        <w:rPr>
          <w:sz w:val="24"/>
          <w:szCs w:val="24"/>
        </w:rPr>
        <w:t xml:space="preserve"> </w:t>
      </w:r>
    </w:p>
    <w:p w:rsidR="00153B9D" w:rsidRPr="005319C7" w:rsidRDefault="00153B9D" w:rsidP="00443EE9">
      <w:pPr>
        <w:spacing w:line="276" w:lineRule="auto"/>
        <w:ind w:firstLine="709"/>
        <w:jc w:val="both"/>
        <w:rPr>
          <w:sz w:val="24"/>
          <w:szCs w:val="24"/>
          <w:highlight w:val="yellow"/>
        </w:rPr>
      </w:pPr>
    </w:p>
    <w:p w:rsidR="000149E7" w:rsidRDefault="000149E7" w:rsidP="00443EE9">
      <w:pPr>
        <w:tabs>
          <w:tab w:val="left" w:pos="1134"/>
        </w:tabs>
        <w:spacing w:line="276" w:lineRule="auto"/>
        <w:jc w:val="center"/>
        <w:rPr>
          <w:b/>
          <w:sz w:val="24"/>
          <w:szCs w:val="24"/>
        </w:rPr>
      </w:pPr>
    </w:p>
    <w:p w:rsidR="00A50BA4" w:rsidRPr="00B52AF1" w:rsidRDefault="00A50BA4" w:rsidP="00443EE9">
      <w:pPr>
        <w:tabs>
          <w:tab w:val="left" w:pos="1134"/>
        </w:tabs>
        <w:spacing w:line="276" w:lineRule="auto"/>
        <w:jc w:val="center"/>
        <w:rPr>
          <w:b/>
          <w:sz w:val="24"/>
          <w:szCs w:val="24"/>
        </w:rPr>
      </w:pPr>
      <w:r w:rsidRPr="00B52AF1">
        <w:rPr>
          <w:b/>
          <w:sz w:val="24"/>
          <w:szCs w:val="24"/>
        </w:rPr>
        <w:t>Заработная плата</w:t>
      </w:r>
      <w:bookmarkStart w:id="6" w:name="зарплата"/>
      <w:bookmarkEnd w:id="6"/>
    </w:p>
    <w:p w:rsidR="00A50BA4" w:rsidRPr="005319C7" w:rsidRDefault="00A50BA4" w:rsidP="00443EE9">
      <w:pPr>
        <w:tabs>
          <w:tab w:val="left" w:pos="1134"/>
        </w:tabs>
        <w:spacing w:line="276" w:lineRule="auto"/>
        <w:jc w:val="center"/>
        <w:rPr>
          <w:b/>
          <w:sz w:val="24"/>
          <w:szCs w:val="24"/>
          <w:highlight w:val="yellow"/>
        </w:rPr>
      </w:pPr>
    </w:p>
    <w:p w:rsidR="00B52AF1" w:rsidRDefault="00B52AF1" w:rsidP="00B52AF1">
      <w:pPr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sz w:val="24"/>
          <w:szCs w:val="24"/>
        </w:rPr>
        <w:t>Среднемесячная номинальная начисленная заработная плата</w:t>
      </w:r>
      <w:r w:rsidRPr="00443EE9">
        <w:rPr>
          <w:rFonts w:eastAsia="Calibri"/>
          <w:i/>
          <w:sz w:val="24"/>
          <w:szCs w:val="24"/>
          <w:lang w:eastAsia="ar-SA"/>
        </w:rPr>
        <w:t xml:space="preserve"> </w:t>
      </w:r>
      <w:r w:rsidRPr="00443EE9">
        <w:rPr>
          <w:sz w:val="24"/>
          <w:szCs w:val="24"/>
          <w:lang w:eastAsia="ar-SA"/>
        </w:rPr>
        <w:t xml:space="preserve">работников </w:t>
      </w:r>
      <w:r w:rsidRPr="00443EE9">
        <w:rPr>
          <w:rFonts w:eastAsia="Calibri"/>
          <w:sz w:val="24"/>
          <w:szCs w:val="24"/>
          <w:lang w:eastAsia="ar-SA"/>
        </w:rPr>
        <w:t xml:space="preserve">организаций </w:t>
      </w:r>
      <w:r w:rsidRPr="00443EE9">
        <w:rPr>
          <w:sz w:val="24"/>
          <w:szCs w:val="24"/>
          <w:lang w:eastAsia="ar-SA"/>
        </w:rPr>
        <w:t xml:space="preserve">городского округа </w:t>
      </w:r>
      <w:r w:rsidRPr="00443EE9">
        <w:rPr>
          <w:rFonts w:eastAsia="Calibri"/>
          <w:sz w:val="24"/>
          <w:szCs w:val="24"/>
          <w:lang w:eastAsia="ar-SA"/>
        </w:rPr>
        <w:t>Тольятти</w:t>
      </w:r>
      <w:r w:rsidRPr="00443EE9">
        <w:rPr>
          <w:sz w:val="24"/>
          <w:szCs w:val="24"/>
          <w:lang w:eastAsia="ar-SA"/>
        </w:rPr>
        <w:t>, не относящихся к субъектам малого предпринимательства</w:t>
      </w:r>
      <w:r>
        <w:rPr>
          <w:sz w:val="24"/>
          <w:szCs w:val="24"/>
          <w:lang w:eastAsia="ar-SA"/>
        </w:rPr>
        <w:t xml:space="preserve"> (далее по разделу - заработная плата),</w:t>
      </w:r>
      <w:r w:rsidRPr="00443EE9">
        <w:rPr>
          <w:sz w:val="24"/>
          <w:szCs w:val="24"/>
          <w:lang w:eastAsia="ar-SA"/>
        </w:rPr>
        <w:t xml:space="preserve"> </w:t>
      </w:r>
      <w:r w:rsidRPr="00443EE9">
        <w:rPr>
          <w:rFonts w:eastAsia="Calibri"/>
          <w:sz w:val="24"/>
          <w:szCs w:val="24"/>
          <w:lang w:eastAsia="ar-SA"/>
        </w:rPr>
        <w:t>по итогам 1 полугодия 201</w:t>
      </w:r>
      <w:r>
        <w:rPr>
          <w:rFonts w:eastAsia="Calibri"/>
          <w:sz w:val="24"/>
          <w:szCs w:val="24"/>
          <w:lang w:eastAsia="ar-SA"/>
        </w:rPr>
        <w:t>9</w:t>
      </w:r>
      <w:r w:rsidRPr="00443EE9">
        <w:rPr>
          <w:rFonts w:eastAsia="Calibri"/>
          <w:sz w:val="24"/>
          <w:szCs w:val="24"/>
          <w:lang w:eastAsia="ar-SA"/>
        </w:rPr>
        <w:t xml:space="preserve"> года увеличилась по сравнению с аналогичным периодом 201</w:t>
      </w:r>
      <w:r>
        <w:rPr>
          <w:rFonts w:eastAsia="Calibri"/>
          <w:sz w:val="24"/>
          <w:szCs w:val="24"/>
          <w:lang w:eastAsia="ar-SA"/>
        </w:rPr>
        <w:t>8</w:t>
      </w:r>
      <w:r w:rsidRPr="00443EE9">
        <w:rPr>
          <w:rFonts w:eastAsia="Calibri"/>
          <w:sz w:val="24"/>
          <w:szCs w:val="24"/>
          <w:lang w:eastAsia="ar-SA"/>
        </w:rPr>
        <w:t xml:space="preserve"> года на </w:t>
      </w:r>
      <w:r>
        <w:rPr>
          <w:rFonts w:eastAsia="Calibri"/>
          <w:sz w:val="24"/>
          <w:szCs w:val="24"/>
          <w:lang w:eastAsia="ar-SA"/>
        </w:rPr>
        <w:t>6,5</w:t>
      </w:r>
      <w:r w:rsidRPr="00443EE9">
        <w:rPr>
          <w:rFonts w:eastAsia="Calibri"/>
          <w:sz w:val="24"/>
          <w:szCs w:val="24"/>
          <w:lang w:eastAsia="ar-SA"/>
        </w:rPr>
        <w:t>% (в реальном исчислении - на 1</w:t>
      </w:r>
      <w:r>
        <w:rPr>
          <w:rFonts w:eastAsia="Calibri"/>
          <w:sz w:val="24"/>
          <w:szCs w:val="24"/>
          <w:lang w:eastAsia="ar-SA"/>
        </w:rPr>
        <w:t>,</w:t>
      </w:r>
      <w:r w:rsidR="00D0645A">
        <w:rPr>
          <w:rFonts w:eastAsia="Calibri"/>
          <w:sz w:val="24"/>
          <w:szCs w:val="24"/>
          <w:lang w:eastAsia="ar-SA"/>
        </w:rPr>
        <w:t>2</w:t>
      </w:r>
      <w:r w:rsidRPr="00443EE9">
        <w:rPr>
          <w:rFonts w:eastAsia="Calibri"/>
          <w:sz w:val="24"/>
          <w:szCs w:val="24"/>
          <w:lang w:eastAsia="ar-SA"/>
        </w:rPr>
        <w:t xml:space="preserve">%) и составила </w:t>
      </w:r>
      <w:r w:rsidRPr="00F357EB">
        <w:rPr>
          <w:rFonts w:eastAsia="Calibri"/>
          <w:sz w:val="24"/>
          <w:szCs w:val="24"/>
          <w:lang w:eastAsia="ar-SA"/>
        </w:rPr>
        <w:t>38</w:t>
      </w:r>
      <w:r>
        <w:rPr>
          <w:rFonts w:eastAsia="Calibri"/>
          <w:sz w:val="24"/>
          <w:szCs w:val="24"/>
          <w:lang w:eastAsia="ar-SA"/>
        </w:rPr>
        <w:t> </w:t>
      </w:r>
      <w:r w:rsidRPr="00F357EB">
        <w:rPr>
          <w:rFonts w:eastAsia="Calibri"/>
          <w:sz w:val="24"/>
          <w:szCs w:val="24"/>
          <w:lang w:eastAsia="ar-SA"/>
        </w:rPr>
        <w:t xml:space="preserve">724 </w:t>
      </w:r>
      <w:r w:rsidRPr="00443EE9">
        <w:rPr>
          <w:rFonts w:eastAsia="Calibri"/>
          <w:sz w:val="24"/>
          <w:szCs w:val="24"/>
          <w:lang w:eastAsia="ar-SA"/>
        </w:rPr>
        <w:t xml:space="preserve">рублей. </w:t>
      </w:r>
      <w:r w:rsidRPr="00443EE9">
        <w:rPr>
          <w:sz w:val="24"/>
          <w:szCs w:val="24"/>
          <w:lang w:eastAsia="ar-SA"/>
        </w:rPr>
        <w:t>Уров</w:t>
      </w:r>
      <w:r>
        <w:rPr>
          <w:sz w:val="24"/>
          <w:szCs w:val="24"/>
          <w:lang w:eastAsia="ar-SA"/>
        </w:rPr>
        <w:t xml:space="preserve">ень </w:t>
      </w:r>
      <w:r w:rsidRPr="00443EE9">
        <w:rPr>
          <w:sz w:val="24"/>
          <w:szCs w:val="24"/>
          <w:lang w:eastAsia="ar-SA"/>
        </w:rPr>
        <w:t xml:space="preserve">заработной платы в городском </w:t>
      </w:r>
      <w:r w:rsidRPr="00443EE9">
        <w:rPr>
          <w:sz w:val="24"/>
          <w:szCs w:val="24"/>
          <w:lang w:eastAsia="ar-SA"/>
        </w:rPr>
        <w:lastRenderedPageBreak/>
        <w:t>округе Тольятти по итогам 1 полугодия 201</w:t>
      </w:r>
      <w:r>
        <w:rPr>
          <w:sz w:val="24"/>
          <w:szCs w:val="24"/>
          <w:lang w:eastAsia="ar-SA"/>
        </w:rPr>
        <w:t>9</w:t>
      </w:r>
      <w:r w:rsidRPr="00443EE9">
        <w:rPr>
          <w:sz w:val="24"/>
          <w:szCs w:val="24"/>
          <w:lang w:eastAsia="ar-SA"/>
        </w:rPr>
        <w:t xml:space="preserve"> сложился ниже среднеобластного значения на 3,</w:t>
      </w:r>
      <w:r>
        <w:rPr>
          <w:sz w:val="24"/>
          <w:szCs w:val="24"/>
          <w:lang w:eastAsia="ar-SA"/>
        </w:rPr>
        <w:t>2</w:t>
      </w:r>
      <w:r w:rsidRPr="00443EE9">
        <w:rPr>
          <w:sz w:val="24"/>
          <w:szCs w:val="24"/>
          <w:lang w:eastAsia="ar-SA"/>
        </w:rPr>
        <w:t xml:space="preserve">%. </w:t>
      </w:r>
    </w:p>
    <w:p w:rsidR="00B52AF1" w:rsidRPr="00443EE9" w:rsidRDefault="00B52AF1" w:rsidP="00B52AF1">
      <w:pPr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443EE9">
        <w:rPr>
          <w:rFonts w:eastAsia="Calibri"/>
          <w:sz w:val="24"/>
          <w:szCs w:val="24"/>
          <w:lang w:eastAsia="ar-SA"/>
        </w:rPr>
        <w:t xml:space="preserve">В рейтинге городских округов Самарской </w:t>
      </w:r>
      <w:r w:rsidRPr="005465A6">
        <w:rPr>
          <w:rFonts w:eastAsia="Calibri"/>
          <w:sz w:val="24"/>
          <w:szCs w:val="24"/>
          <w:lang w:eastAsia="ar-SA"/>
        </w:rPr>
        <w:t xml:space="preserve">области за январь-июнь 2019 года </w:t>
      </w:r>
      <w:r w:rsidRPr="00443EE9">
        <w:rPr>
          <w:rFonts w:eastAsia="Calibri"/>
          <w:sz w:val="24"/>
          <w:szCs w:val="24"/>
          <w:lang w:eastAsia="ar-SA"/>
        </w:rPr>
        <w:t xml:space="preserve">городской округ Тольятти занял </w:t>
      </w:r>
      <w:r>
        <w:rPr>
          <w:rFonts w:eastAsia="Calibri"/>
          <w:sz w:val="24"/>
          <w:szCs w:val="24"/>
          <w:lang w:eastAsia="ar-SA"/>
        </w:rPr>
        <w:t>четвертое</w:t>
      </w:r>
      <w:r w:rsidRPr="00443EE9">
        <w:rPr>
          <w:rFonts w:eastAsia="Calibri"/>
          <w:sz w:val="24"/>
          <w:szCs w:val="24"/>
          <w:lang w:eastAsia="ar-SA"/>
        </w:rPr>
        <w:t xml:space="preserve"> место (на уровне пр</w:t>
      </w:r>
      <w:r>
        <w:rPr>
          <w:rFonts w:eastAsia="Calibri"/>
          <w:sz w:val="24"/>
          <w:szCs w:val="24"/>
          <w:lang w:eastAsia="ar-SA"/>
        </w:rPr>
        <w:t>едыдущего</w:t>
      </w:r>
      <w:r w:rsidRPr="00443EE9">
        <w:rPr>
          <w:rFonts w:eastAsia="Calibri"/>
          <w:sz w:val="24"/>
          <w:szCs w:val="24"/>
          <w:lang w:eastAsia="ar-SA"/>
        </w:rPr>
        <w:t xml:space="preserve"> года) по уровню заработной платы. </w:t>
      </w:r>
    </w:p>
    <w:p w:rsidR="00B52AF1" w:rsidRPr="00443EE9" w:rsidRDefault="00B52AF1" w:rsidP="00B52AF1">
      <w:pPr>
        <w:pStyle w:val="231"/>
        <w:spacing w:after="0"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 xml:space="preserve">Как и в прошлые периоды, дифференциация среднемесячной заработной платы в различных секторах экономики сохраняется высокой. </w:t>
      </w:r>
    </w:p>
    <w:p w:rsidR="00B52AF1" w:rsidRPr="00C03C3A" w:rsidRDefault="00B52AF1" w:rsidP="00B52AF1">
      <w:pPr>
        <w:pStyle w:val="aff0"/>
        <w:spacing w:line="276" w:lineRule="auto"/>
        <w:rPr>
          <w:sz w:val="24"/>
          <w:szCs w:val="24"/>
        </w:rPr>
      </w:pPr>
      <w:r w:rsidRPr="00C03C3A">
        <w:rPr>
          <w:sz w:val="24"/>
          <w:szCs w:val="24"/>
        </w:rPr>
        <w:t xml:space="preserve">По итогам 1 полугодия </w:t>
      </w:r>
      <w:r>
        <w:rPr>
          <w:sz w:val="24"/>
          <w:szCs w:val="24"/>
        </w:rPr>
        <w:t xml:space="preserve">2019 года </w:t>
      </w:r>
      <w:r w:rsidRPr="00C03C3A">
        <w:rPr>
          <w:sz w:val="24"/>
          <w:szCs w:val="24"/>
        </w:rPr>
        <w:t>лидером по уровню заработной платы является деятельность профессиональная, научная и техническая (</w:t>
      </w:r>
      <w:r w:rsidR="00613FA0" w:rsidRPr="00613FA0">
        <w:rPr>
          <w:sz w:val="24"/>
          <w:szCs w:val="24"/>
        </w:rPr>
        <w:t>66 971 рубл</w:t>
      </w:r>
      <w:r w:rsidR="00613FA0">
        <w:rPr>
          <w:sz w:val="24"/>
          <w:szCs w:val="24"/>
        </w:rPr>
        <w:t>ей,</w:t>
      </w:r>
      <w:r w:rsidR="00613FA0" w:rsidRPr="00613FA0">
        <w:rPr>
          <w:sz w:val="24"/>
          <w:szCs w:val="24"/>
        </w:rPr>
        <w:t xml:space="preserve"> </w:t>
      </w:r>
      <w:r w:rsidR="00613FA0">
        <w:rPr>
          <w:sz w:val="24"/>
          <w:szCs w:val="24"/>
        </w:rPr>
        <w:t>в</w:t>
      </w:r>
      <w:r w:rsidRPr="00C03C3A">
        <w:rPr>
          <w:sz w:val="24"/>
          <w:szCs w:val="24"/>
        </w:rPr>
        <w:t xml:space="preserve"> 1,7 раза</w:t>
      </w:r>
      <w:r w:rsidRPr="001649A2">
        <w:rPr>
          <w:sz w:val="24"/>
          <w:szCs w:val="24"/>
        </w:rPr>
        <w:t xml:space="preserve"> </w:t>
      </w:r>
      <w:r w:rsidR="00613FA0">
        <w:rPr>
          <w:sz w:val="24"/>
          <w:szCs w:val="24"/>
        </w:rPr>
        <w:t>больше, чем в целом по городу</w:t>
      </w:r>
      <w:r w:rsidRPr="00C03C3A">
        <w:rPr>
          <w:sz w:val="24"/>
          <w:szCs w:val="24"/>
        </w:rPr>
        <w:t>). Также  одним из самых оплачиваемым видом деятельности является химическое производство (в 1,4 раза</w:t>
      </w:r>
      <w:r>
        <w:rPr>
          <w:sz w:val="24"/>
          <w:szCs w:val="24"/>
        </w:rPr>
        <w:t>, 54 796 рублей</w:t>
      </w:r>
      <w:r w:rsidRPr="00C03C3A">
        <w:rPr>
          <w:sz w:val="24"/>
          <w:szCs w:val="24"/>
        </w:rPr>
        <w:t>), деятельность финансовая и страховая</w:t>
      </w:r>
      <w:r>
        <w:rPr>
          <w:sz w:val="24"/>
          <w:szCs w:val="24"/>
        </w:rPr>
        <w:t xml:space="preserve"> (</w:t>
      </w:r>
      <w:r w:rsidRPr="00C03C3A">
        <w:rPr>
          <w:sz w:val="24"/>
          <w:szCs w:val="24"/>
        </w:rPr>
        <w:t>в 1,2 раза</w:t>
      </w:r>
      <w:r>
        <w:rPr>
          <w:sz w:val="24"/>
          <w:szCs w:val="24"/>
        </w:rPr>
        <w:t>, 46 803 рублей)</w:t>
      </w:r>
      <w:r w:rsidRPr="00C03C3A">
        <w:rPr>
          <w:sz w:val="24"/>
          <w:szCs w:val="24"/>
        </w:rPr>
        <w:t>, а также производство прочих автотранспортных средств, прицепов и полуприцепов (в 1,2 раза</w:t>
      </w:r>
      <w:r>
        <w:rPr>
          <w:sz w:val="24"/>
          <w:szCs w:val="24"/>
        </w:rPr>
        <w:t>, 46 260 рублей</w:t>
      </w:r>
      <w:r w:rsidRPr="00C03C3A">
        <w:rPr>
          <w:sz w:val="24"/>
          <w:szCs w:val="24"/>
        </w:rPr>
        <w:t xml:space="preserve">). </w:t>
      </w:r>
    </w:p>
    <w:p w:rsidR="00B52AF1" w:rsidRPr="00C03C3A" w:rsidRDefault="00B52AF1" w:rsidP="00B52AF1">
      <w:pPr>
        <w:pStyle w:val="aff0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Самый низкий уровень заработной платы зафиксирован по ряду обрабатывающих производств: </w:t>
      </w:r>
      <w:r w:rsidRPr="00C03C3A">
        <w:rPr>
          <w:sz w:val="24"/>
          <w:szCs w:val="24"/>
        </w:rPr>
        <w:t>предприятия деятельности по производству текстильных изделий (52,6% от среднемесячной заработной платы по округу), по производству пищевых продуктов (60,2%)</w:t>
      </w:r>
      <w:r>
        <w:rPr>
          <w:sz w:val="24"/>
          <w:szCs w:val="24"/>
        </w:rPr>
        <w:t>.</w:t>
      </w:r>
      <w:r w:rsidRPr="00C03C3A"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 xml:space="preserve">Также невысокий уровень заработной платы зафиксирован </w:t>
      </w:r>
      <w:r w:rsidRPr="00C03C3A">
        <w:rPr>
          <w:sz w:val="24"/>
          <w:szCs w:val="24"/>
        </w:rPr>
        <w:t>в образовании (</w:t>
      </w:r>
      <w:r>
        <w:rPr>
          <w:sz w:val="24"/>
          <w:szCs w:val="24"/>
        </w:rPr>
        <w:t>74,0</w:t>
      </w:r>
      <w:r w:rsidRPr="00C03C3A">
        <w:rPr>
          <w:sz w:val="24"/>
          <w:szCs w:val="24"/>
        </w:rPr>
        <w:t>%).</w:t>
      </w:r>
    </w:p>
    <w:p w:rsidR="00B52AF1" w:rsidRPr="00C03C3A" w:rsidRDefault="00B52AF1" w:rsidP="00B52AF1">
      <w:pPr>
        <w:pStyle w:val="aff0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При этом по сравнению с аналогичным периодом прошлого года заработная плата выросла практически </w:t>
      </w:r>
      <w:r w:rsidRPr="00C03C3A">
        <w:rPr>
          <w:sz w:val="24"/>
          <w:szCs w:val="24"/>
        </w:rPr>
        <w:t>во всех наблюдаемых видах экономической деятельности за исключением деятельности в области спорта, отдыха и развлечений.</w:t>
      </w:r>
    </w:p>
    <w:p w:rsidR="00B52AF1" w:rsidRDefault="00B52AF1" w:rsidP="00B52AF1">
      <w:pPr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875965">
        <w:rPr>
          <w:sz w:val="24"/>
          <w:szCs w:val="24"/>
          <w:lang w:eastAsia="ar-SA"/>
        </w:rPr>
        <w:t>В рейтинге региональных центров Приволжского федерального округа за январь-июнь 2019 года по темпам роста заработной платы городской округ Тольятти занял</w:t>
      </w:r>
      <w:r>
        <w:rPr>
          <w:sz w:val="24"/>
          <w:szCs w:val="24"/>
          <w:lang w:eastAsia="ar-SA"/>
        </w:rPr>
        <w:t xml:space="preserve"> 9 место (январь-июнь 2018 года – 1 место).</w:t>
      </w:r>
    </w:p>
    <w:p w:rsidR="00B52AF1" w:rsidRPr="00695916" w:rsidRDefault="00B52AF1" w:rsidP="00B52AF1">
      <w:pPr>
        <w:pStyle w:val="aff0"/>
        <w:spacing w:line="276" w:lineRule="auto"/>
        <w:rPr>
          <w:sz w:val="24"/>
          <w:szCs w:val="24"/>
        </w:rPr>
      </w:pPr>
      <w:r w:rsidRPr="00695916">
        <w:rPr>
          <w:sz w:val="24"/>
          <w:szCs w:val="24"/>
        </w:rPr>
        <w:t>Наиболее высокие темпы роста заработной платы отмечаются на предприятиях, осуществляющих деятельность по операциям с недвижимым имуществом (138,7%), в области строительства – (121,2%). На предприятиях обрабатывающих производств заработная плата выросла на 5,5%.</w:t>
      </w:r>
    </w:p>
    <w:p w:rsidR="00B52AF1" w:rsidRPr="00695916" w:rsidRDefault="00B52AF1" w:rsidP="00B52AF1">
      <w:pPr>
        <w:spacing w:line="276" w:lineRule="auto"/>
        <w:ind w:firstLine="709"/>
        <w:jc w:val="both"/>
        <w:rPr>
          <w:sz w:val="24"/>
          <w:szCs w:val="24"/>
        </w:rPr>
      </w:pPr>
      <w:r w:rsidRPr="00695916">
        <w:rPr>
          <w:sz w:val="24"/>
          <w:szCs w:val="24"/>
        </w:rPr>
        <w:t>По данным АО «А</w:t>
      </w:r>
      <w:r w:rsidR="00613FA0">
        <w:rPr>
          <w:sz w:val="24"/>
          <w:szCs w:val="24"/>
        </w:rPr>
        <w:t>ВТО</w:t>
      </w:r>
      <w:r w:rsidRPr="00695916">
        <w:rPr>
          <w:sz w:val="24"/>
          <w:szCs w:val="24"/>
        </w:rPr>
        <w:t>ВАЗ», деятельность которого по-прежнему оказывает существенное влияние на экономику города, заработная плата работников предприятия за январь-</w:t>
      </w:r>
      <w:r w:rsidR="004E5BB1">
        <w:rPr>
          <w:sz w:val="24"/>
          <w:szCs w:val="24"/>
        </w:rPr>
        <w:t>июнь</w:t>
      </w:r>
      <w:r w:rsidRPr="00695916">
        <w:rPr>
          <w:sz w:val="24"/>
          <w:szCs w:val="24"/>
        </w:rPr>
        <w:t xml:space="preserve"> 2019 года относительно аналогичного периода </w:t>
      </w:r>
      <w:r w:rsidR="004E5BB1">
        <w:rPr>
          <w:sz w:val="24"/>
          <w:szCs w:val="24"/>
        </w:rPr>
        <w:t>прошлого года</w:t>
      </w:r>
      <w:r w:rsidRPr="00695916">
        <w:rPr>
          <w:sz w:val="24"/>
          <w:szCs w:val="24"/>
        </w:rPr>
        <w:t xml:space="preserve"> выросла на </w:t>
      </w:r>
      <w:r w:rsidRPr="004E5BB1">
        <w:rPr>
          <w:sz w:val="24"/>
          <w:szCs w:val="24"/>
        </w:rPr>
        <w:t>4,1% в</w:t>
      </w:r>
      <w:r w:rsidRPr="00695916">
        <w:rPr>
          <w:sz w:val="24"/>
          <w:szCs w:val="24"/>
        </w:rPr>
        <w:t xml:space="preserve"> связи с индексацией ставок и окладов сотрудников  с 1 июля 2018 года (на 6,9%). Следует отметить,  что всем сотрудникам АО «АвтоВАЗ» с 1 июля 2019 года повышены тарифные ставки и оклады на 7,0%. </w:t>
      </w:r>
    </w:p>
    <w:p w:rsidR="00B52AF1" w:rsidRPr="00443EE9" w:rsidRDefault="00B52AF1" w:rsidP="00B52AF1">
      <w:pPr>
        <w:pStyle w:val="aff0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Вместе с этим, значительная часть работающего населения городского округа Тольятти занята на предприятиях малого бизнеса, где уровень оплаты труда, как правило, ниже заработной платы работников крупных и средних организаций. </w:t>
      </w:r>
      <w:r w:rsidR="004E5BB1">
        <w:rPr>
          <w:sz w:val="24"/>
          <w:szCs w:val="24"/>
        </w:rPr>
        <w:t xml:space="preserve">Так, по данным органов статистики, заработная плата работников малых организаций (без микропредприятий) за 1 полугодие 2019 года составила </w:t>
      </w:r>
      <w:r w:rsidR="00EC1F32">
        <w:rPr>
          <w:sz w:val="24"/>
          <w:szCs w:val="24"/>
        </w:rPr>
        <w:t xml:space="preserve">21,7 тыс. </w:t>
      </w:r>
      <w:r w:rsidR="004E5BB1">
        <w:rPr>
          <w:sz w:val="24"/>
          <w:szCs w:val="24"/>
        </w:rPr>
        <w:t xml:space="preserve">рублей, </w:t>
      </w:r>
      <w:r w:rsidR="004E5BB1" w:rsidRPr="00EC1F32">
        <w:rPr>
          <w:sz w:val="24"/>
          <w:szCs w:val="24"/>
        </w:rPr>
        <w:t xml:space="preserve">что на </w:t>
      </w:r>
      <w:r w:rsidR="00EC1F32" w:rsidRPr="00EC1F32">
        <w:rPr>
          <w:sz w:val="24"/>
          <w:szCs w:val="24"/>
        </w:rPr>
        <w:t>9,3</w:t>
      </w:r>
      <w:r w:rsidR="004E5BB1" w:rsidRPr="00EC1F32">
        <w:rPr>
          <w:sz w:val="24"/>
          <w:szCs w:val="24"/>
        </w:rPr>
        <w:t>%</w:t>
      </w:r>
      <w:r w:rsidR="004E5BB1">
        <w:rPr>
          <w:sz w:val="24"/>
          <w:szCs w:val="24"/>
        </w:rPr>
        <w:t xml:space="preserve"> выше соответствующего периода прошлого года.</w:t>
      </w:r>
    </w:p>
    <w:p w:rsidR="00B52AF1" w:rsidRPr="00AD61F3" w:rsidRDefault="00B52AF1" w:rsidP="00B52AF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D61F3">
        <w:rPr>
          <w:sz w:val="24"/>
          <w:szCs w:val="24"/>
        </w:rPr>
        <w:t xml:space="preserve">В соответствии с постановлением администрации городского округа Тольятти от 29.12.2018 № 3979-п/1 «О повышении оплаты труда работников органов местного самоуправления  и работников бюджетной сферы городского округа Тольятти с 01.01.2019» </w:t>
      </w:r>
      <w:r w:rsidR="004E5BB1" w:rsidRPr="004E5BB1">
        <w:rPr>
          <w:sz w:val="24"/>
          <w:szCs w:val="24"/>
        </w:rPr>
        <w:t xml:space="preserve">в 1,04 раза повышен </w:t>
      </w:r>
      <w:r w:rsidRPr="00AD61F3">
        <w:rPr>
          <w:sz w:val="24"/>
          <w:szCs w:val="24"/>
        </w:rPr>
        <w:t xml:space="preserve">размер окладов (должностных окладов) работников органов местного самоуправления и работников бюджетного сектора экономики городского округа Тольятти, за исключением педагогических работников муниципальных образовательных </w:t>
      </w:r>
      <w:r w:rsidRPr="00AD61F3">
        <w:rPr>
          <w:sz w:val="24"/>
          <w:szCs w:val="24"/>
        </w:rPr>
        <w:lastRenderedPageBreak/>
        <w:t>учреждений, работников на должностях профессорско-преподавательского состава муниципальных образовательных учреждений, работников муниципальных учреждений культуры и искусства, повышение заработной платы, которых производится в соответствии с Указами Президента Российской Федерации от 07.05.2012 № 597 «О мероприятиях по реализации государственной социальной политики» и от 01.06.2012 № 761 «О национальной стратегии действий в интересах детей на 2012 - 2017 годы».</w:t>
      </w:r>
    </w:p>
    <w:p w:rsidR="00B52AF1" w:rsidRDefault="00B52AF1" w:rsidP="00B52AF1">
      <w:pPr>
        <w:pStyle w:val="aff0"/>
        <w:spacing w:line="276" w:lineRule="auto"/>
        <w:rPr>
          <w:sz w:val="24"/>
          <w:szCs w:val="24"/>
        </w:rPr>
      </w:pPr>
      <w:r w:rsidRPr="00AD61F3">
        <w:rPr>
          <w:sz w:val="24"/>
          <w:szCs w:val="24"/>
        </w:rPr>
        <w:t xml:space="preserve">Согласно ст. 1 Федерального закона от 19.06.2000 № 82-ФЗ (ред. от 07.03.2018) «О минимальном размере оплаты труда», начиная с 1 января 2019 года, минимальный размер оплаты труда (МРОТ), установлен в размере величины прожиточного минимума </w:t>
      </w:r>
      <w:r w:rsidRPr="00270D94">
        <w:rPr>
          <w:sz w:val="24"/>
          <w:szCs w:val="24"/>
        </w:rPr>
        <w:t>трудоспособного населения в целом по Российской Федерации за второй квартал предыдущего года – 11 280</w:t>
      </w:r>
      <w:r w:rsidRPr="00AD61F3">
        <w:rPr>
          <w:sz w:val="24"/>
          <w:szCs w:val="24"/>
        </w:rPr>
        <w:t xml:space="preserve"> рублей.</w:t>
      </w:r>
    </w:p>
    <w:p w:rsidR="00B52AF1" w:rsidRDefault="00B52AF1" w:rsidP="00B52AF1">
      <w:pPr>
        <w:pStyle w:val="aff0"/>
        <w:spacing w:line="276" w:lineRule="auto"/>
        <w:rPr>
          <w:sz w:val="24"/>
          <w:szCs w:val="24"/>
        </w:rPr>
      </w:pPr>
    </w:p>
    <w:p w:rsidR="00B52AF1" w:rsidRDefault="00B52AF1" w:rsidP="005D0850">
      <w:pPr>
        <w:pStyle w:val="230"/>
        <w:keepNext/>
        <w:keepLines/>
        <w:spacing w:after="0" w:line="276" w:lineRule="auto"/>
        <w:ind w:left="0"/>
        <w:jc w:val="center"/>
        <w:rPr>
          <w:bCs/>
          <w:sz w:val="24"/>
          <w:szCs w:val="24"/>
        </w:rPr>
      </w:pPr>
      <w:r w:rsidRPr="00443EE9">
        <w:rPr>
          <w:bCs/>
          <w:sz w:val="24"/>
          <w:szCs w:val="24"/>
        </w:rPr>
        <w:t>Ожидаемое выполнение прогнозных показателей по разделу «Заработная плата»                на 201</w:t>
      </w:r>
      <w:r>
        <w:rPr>
          <w:bCs/>
          <w:sz w:val="24"/>
          <w:szCs w:val="24"/>
        </w:rPr>
        <w:t>9</w:t>
      </w:r>
      <w:r w:rsidRPr="00443EE9">
        <w:rPr>
          <w:bCs/>
          <w:sz w:val="24"/>
          <w:szCs w:val="24"/>
        </w:rPr>
        <w:t xml:space="preserve"> год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1276"/>
        <w:gridCol w:w="1276"/>
        <w:gridCol w:w="1275"/>
        <w:gridCol w:w="1134"/>
      </w:tblGrid>
      <w:tr w:rsidR="00B52AF1" w:rsidRPr="00443EE9" w:rsidTr="00FF7CE3">
        <w:trPr>
          <w:tblHeader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AF1" w:rsidRPr="00443EE9" w:rsidRDefault="00B52AF1" w:rsidP="00FF7CE3">
            <w:pPr>
              <w:pStyle w:val="230"/>
              <w:keepNext/>
              <w:keepLines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CE3" w:rsidRDefault="00B52AF1" w:rsidP="00FF7CE3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Единица измере</w:t>
            </w:r>
          </w:p>
          <w:p w:rsidR="00B52AF1" w:rsidRPr="00443EE9" w:rsidRDefault="00B52AF1" w:rsidP="00FF7CE3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AF1" w:rsidRPr="00443EE9" w:rsidRDefault="00B52AF1" w:rsidP="00FF7CE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Прогноз на 201</w:t>
            </w:r>
            <w:r>
              <w:rPr>
                <w:sz w:val="24"/>
                <w:szCs w:val="24"/>
              </w:rPr>
              <w:t>9</w:t>
            </w:r>
            <w:r w:rsidRPr="00443E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AF1" w:rsidRPr="00443EE9" w:rsidRDefault="00B52AF1" w:rsidP="00FF7CE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43EE9">
              <w:rPr>
                <w:sz w:val="24"/>
                <w:szCs w:val="24"/>
              </w:rPr>
              <w:t xml:space="preserve"> год (оценка)</w:t>
            </w:r>
          </w:p>
        </w:tc>
      </w:tr>
      <w:tr w:rsidR="00B52AF1" w:rsidRPr="00443EE9" w:rsidTr="00FF7CE3">
        <w:trPr>
          <w:trHeight w:val="539"/>
          <w:tblHeader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AF1" w:rsidRPr="00443EE9" w:rsidRDefault="00B52AF1" w:rsidP="00FF7CE3">
            <w:pPr>
              <w:pStyle w:val="230"/>
              <w:snapToGrid w:val="0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AF1" w:rsidRPr="00443EE9" w:rsidRDefault="00B52AF1" w:rsidP="00FF7CE3">
            <w:pPr>
              <w:pStyle w:val="230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AF1" w:rsidRPr="00443EE9" w:rsidRDefault="00B52AF1" w:rsidP="00FF7CE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 вариант (</w:t>
            </w:r>
            <w:r>
              <w:rPr>
                <w:sz w:val="24"/>
                <w:szCs w:val="24"/>
              </w:rPr>
              <w:t>консервативный</w:t>
            </w:r>
            <w:r w:rsidRPr="00443EE9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AF1" w:rsidRPr="00443EE9" w:rsidRDefault="00B52AF1" w:rsidP="00FF7CE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 вариант</w:t>
            </w:r>
          </w:p>
          <w:p w:rsidR="00B52AF1" w:rsidRPr="00443EE9" w:rsidRDefault="00B52AF1" w:rsidP="00FF7CE3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(базовый)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AF1" w:rsidRPr="00443EE9" w:rsidRDefault="00B52AF1" w:rsidP="00FF7CE3">
            <w:pPr>
              <w:pStyle w:val="230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вариант </w:t>
            </w:r>
            <w:r w:rsidRPr="00443EE9">
              <w:rPr>
                <w:sz w:val="24"/>
                <w:szCs w:val="24"/>
              </w:rPr>
              <w:t>(целевой)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F1" w:rsidRPr="00443EE9" w:rsidRDefault="00B52AF1" w:rsidP="00FF7CE3">
            <w:pPr>
              <w:pStyle w:val="230"/>
              <w:snapToGrid w:val="0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52AF1" w:rsidRPr="00443EE9" w:rsidTr="00FF7CE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AF1" w:rsidRPr="00443EE9" w:rsidRDefault="00B52AF1" w:rsidP="00FF7CE3">
            <w:pPr>
              <w:pStyle w:val="230"/>
              <w:spacing w:after="0" w:line="240" w:lineRule="auto"/>
              <w:ind w:left="0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Среднемесячная номинальная  начисленная заработная плата работников организаций, не относящихся к субъектам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AF1" w:rsidRPr="00443EE9" w:rsidRDefault="00B52AF1" w:rsidP="00FF7CE3">
            <w:pPr>
              <w:pStyle w:val="230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AF1" w:rsidRPr="00443EE9" w:rsidRDefault="00B52AF1" w:rsidP="00FF7CE3">
            <w:pPr>
              <w:pStyle w:val="230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8 940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AF1" w:rsidRPr="00443EE9" w:rsidRDefault="00B52AF1" w:rsidP="00FF7CE3">
            <w:pPr>
              <w:pStyle w:val="230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9 340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AF1" w:rsidRPr="00443EE9" w:rsidRDefault="00B52AF1" w:rsidP="00FF7CE3">
            <w:pPr>
              <w:pStyle w:val="230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F1" w:rsidRPr="00443EE9" w:rsidRDefault="00B52AF1" w:rsidP="00FF7CE3">
            <w:pPr>
              <w:pStyle w:val="230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40 100</w:t>
            </w:r>
          </w:p>
        </w:tc>
      </w:tr>
      <w:tr w:rsidR="00B52AF1" w:rsidRPr="00443EE9" w:rsidTr="00FF7CE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AF1" w:rsidRPr="00443EE9" w:rsidRDefault="00B52AF1" w:rsidP="00FF7CE3">
            <w:pPr>
              <w:pStyle w:val="230"/>
              <w:spacing w:after="0" w:line="240" w:lineRule="auto"/>
              <w:ind w:left="0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Реальная среднемесячная начисленная заработная плата</w:t>
            </w:r>
            <w:r>
              <w:rPr>
                <w:sz w:val="24"/>
                <w:szCs w:val="24"/>
              </w:rPr>
              <w:t xml:space="preserve"> </w:t>
            </w:r>
            <w:r w:rsidRPr="00443EE9">
              <w:rPr>
                <w:sz w:val="24"/>
                <w:szCs w:val="24"/>
              </w:rPr>
              <w:t>работников организаций, не относящихся к субъектам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AF1" w:rsidRPr="00443EE9" w:rsidRDefault="00B52AF1" w:rsidP="0081226A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AF1" w:rsidRPr="00443EE9" w:rsidRDefault="00B52AF1" w:rsidP="0081226A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AF1" w:rsidRPr="00443EE9" w:rsidRDefault="00B52AF1" w:rsidP="0081226A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2AF1" w:rsidRPr="00443EE9" w:rsidRDefault="00B52AF1" w:rsidP="0081226A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AF1" w:rsidRPr="00443EE9" w:rsidRDefault="00B52AF1" w:rsidP="0081226A">
            <w:pPr>
              <w:pStyle w:val="23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</w:tbl>
    <w:p w:rsidR="00B52AF1" w:rsidRPr="00AD61F3" w:rsidRDefault="00B52AF1" w:rsidP="00B52AF1">
      <w:pPr>
        <w:pStyle w:val="aff0"/>
        <w:spacing w:line="276" w:lineRule="auto"/>
        <w:rPr>
          <w:sz w:val="24"/>
          <w:szCs w:val="24"/>
        </w:rPr>
      </w:pPr>
    </w:p>
    <w:p w:rsidR="00B52AF1" w:rsidRPr="00443EE9" w:rsidRDefault="00B52AF1" w:rsidP="00FF7CE3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  <w:r w:rsidRPr="00443EE9">
        <w:rPr>
          <w:sz w:val="24"/>
          <w:szCs w:val="24"/>
        </w:rPr>
        <w:t>Учитывая сложившийся темп роста среднемесячной номинальной начисленной заработной платы работников организаций, не относящихся к субъектам малого предпринимательства, за 1 полугодие 201</w:t>
      </w:r>
      <w:r>
        <w:rPr>
          <w:sz w:val="24"/>
          <w:szCs w:val="24"/>
        </w:rPr>
        <w:t>9</w:t>
      </w:r>
      <w:r w:rsidRPr="00443EE9">
        <w:rPr>
          <w:sz w:val="24"/>
          <w:szCs w:val="24"/>
        </w:rPr>
        <w:t xml:space="preserve"> года (1</w:t>
      </w:r>
      <w:r>
        <w:rPr>
          <w:sz w:val="24"/>
          <w:szCs w:val="24"/>
        </w:rPr>
        <w:t>06,5</w:t>
      </w:r>
      <w:r w:rsidRPr="00443EE9">
        <w:rPr>
          <w:sz w:val="24"/>
          <w:szCs w:val="24"/>
        </w:rPr>
        <w:t>%)</w:t>
      </w:r>
      <w:r>
        <w:rPr>
          <w:sz w:val="24"/>
          <w:szCs w:val="24"/>
        </w:rPr>
        <w:t xml:space="preserve">, а также </w:t>
      </w:r>
      <w:r w:rsidRPr="00AD61F3">
        <w:rPr>
          <w:sz w:val="24"/>
          <w:szCs w:val="24"/>
        </w:rPr>
        <w:t>исходя из сложившихся условий экономического развития городского округа Тольятти, повышения заработной платы работникам бюджетной сферы, сохранения результатов, достигнутых в сфере заработной платы работников социальной сферы в соответствии с указами Президента Российской Федерации 2012 года, установления минимального размера оплаты труда на уровне прожиточного минимума</w:t>
      </w:r>
      <w:r>
        <w:rPr>
          <w:sz w:val="24"/>
          <w:szCs w:val="24"/>
        </w:rPr>
        <w:t xml:space="preserve">, </w:t>
      </w:r>
      <w:r w:rsidRPr="00443EE9">
        <w:rPr>
          <w:sz w:val="24"/>
          <w:szCs w:val="24"/>
        </w:rPr>
        <w:t>оценка показателя в целом за 201</w:t>
      </w:r>
      <w:r>
        <w:rPr>
          <w:sz w:val="24"/>
          <w:szCs w:val="24"/>
        </w:rPr>
        <w:t>9</w:t>
      </w:r>
      <w:r w:rsidRPr="00443EE9">
        <w:rPr>
          <w:sz w:val="24"/>
          <w:szCs w:val="24"/>
        </w:rPr>
        <w:t xml:space="preserve"> год скорректирована в сторону увеличения до </w:t>
      </w:r>
      <w:r>
        <w:rPr>
          <w:sz w:val="24"/>
          <w:szCs w:val="24"/>
        </w:rPr>
        <w:t>40</w:t>
      </w:r>
      <w:r w:rsidRPr="00443EE9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443EE9">
        <w:rPr>
          <w:sz w:val="24"/>
          <w:szCs w:val="24"/>
        </w:rPr>
        <w:t>0 рублей (1</w:t>
      </w:r>
      <w:r>
        <w:rPr>
          <w:sz w:val="24"/>
          <w:szCs w:val="24"/>
        </w:rPr>
        <w:t>06,5</w:t>
      </w:r>
      <w:r w:rsidRPr="00443EE9">
        <w:rPr>
          <w:sz w:val="24"/>
          <w:szCs w:val="24"/>
        </w:rPr>
        <w:t>%). Оценка реальной заработной платы скорректирована на индекс потребительских цен до 10</w:t>
      </w:r>
      <w:r>
        <w:rPr>
          <w:sz w:val="24"/>
          <w:szCs w:val="24"/>
        </w:rPr>
        <w:t>1,2</w:t>
      </w:r>
      <w:r w:rsidRPr="00443EE9">
        <w:rPr>
          <w:sz w:val="24"/>
          <w:szCs w:val="24"/>
        </w:rPr>
        <w:t xml:space="preserve">%. </w:t>
      </w:r>
    </w:p>
    <w:p w:rsidR="0090607E" w:rsidRPr="005319C7" w:rsidRDefault="0090607E" w:rsidP="00443EE9">
      <w:pPr>
        <w:pStyle w:val="2a"/>
        <w:spacing w:after="0" w:line="276" w:lineRule="auto"/>
        <w:jc w:val="center"/>
        <w:rPr>
          <w:b/>
          <w:sz w:val="24"/>
          <w:szCs w:val="24"/>
          <w:highlight w:val="yellow"/>
        </w:rPr>
      </w:pPr>
    </w:p>
    <w:p w:rsidR="00A50BA4" w:rsidRPr="00830E2A" w:rsidRDefault="00A50BA4" w:rsidP="00443EE9">
      <w:pPr>
        <w:pStyle w:val="2a"/>
        <w:spacing w:after="0" w:line="276" w:lineRule="auto"/>
        <w:jc w:val="center"/>
        <w:rPr>
          <w:b/>
          <w:sz w:val="24"/>
          <w:szCs w:val="24"/>
        </w:rPr>
      </w:pPr>
      <w:r w:rsidRPr="00830E2A">
        <w:rPr>
          <w:b/>
          <w:sz w:val="24"/>
          <w:szCs w:val="24"/>
        </w:rPr>
        <w:t>Транспорт</w:t>
      </w:r>
      <w:bookmarkStart w:id="7" w:name="транспорт"/>
      <w:bookmarkEnd w:id="7"/>
    </w:p>
    <w:p w:rsidR="00F2765D" w:rsidRPr="005319C7" w:rsidRDefault="00F2765D" w:rsidP="00443EE9">
      <w:pPr>
        <w:pStyle w:val="aff0"/>
        <w:spacing w:line="300" w:lineRule="auto"/>
        <w:rPr>
          <w:sz w:val="24"/>
          <w:szCs w:val="24"/>
          <w:highlight w:val="yellow"/>
        </w:rPr>
      </w:pPr>
    </w:p>
    <w:p w:rsidR="009E46F7" w:rsidRPr="00F83CC7" w:rsidRDefault="009E46F7" w:rsidP="00FF7CE3">
      <w:pPr>
        <w:pStyle w:val="aff0"/>
        <w:spacing w:line="276" w:lineRule="auto"/>
        <w:rPr>
          <w:sz w:val="24"/>
          <w:szCs w:val="24"/>
        </w:rPr>
      </w:pPr>
      <w:r w:rsidRPr="00F83CC7">
        <w:rPr>
          <w:sz w:val="24"/>
          <w:szCs w:val="24"/>
        </w:rPr>
        <w:t>По данным органов статистики за 1 полугодие 201</w:t>
      </w:r>
      <w:r>
        <w:rPr>
          <w:sz w:val="24"/>
          <w:szCs w:val="24"/>
        </w:rPr>
        <w:t>9</w:t>
      </w:r>
      <w:r w:rsidRPr="00F83CC7">
        <w:rPr>
          <w:sz w:val="24"/>
          <w:szCs w:val="24"/>
        </w:rPr>
        <w:t xml:space="preserve"> года наблюдается </w:t>
      </w:r>
      <w:r w:rsidRPr="00A0508B">
        <w:rPr>
          <w:sz w:val="24"/>
          <w:szCs w:val="24"/>
        </w:rPr>
        <w:t>рост показателей работы грузового и пассажирского транспорта.</w:t>
      </w:r>
    </w:p>
    <w:p w:rsidR="00930FDA" w:rsidRDefault="009E46F7" w:rsidP="00FF7CE3">
      <w:pPr>
        <w:pStyle w:val="af9"/>
        <w:spacing w:after="0" w:line="276" w:lineRule="auto"/>
        <w:ind w:firstLine="709"/>
        <w:jc w:val="both"/>
      </w:pPr>
      <w:r w:rsidRPr="00E847F0">
        <w:rPr>
          <w:rFonts w:eastAsia="Calibri"/>
        </w:rPr>
        <w:t xml:space="preserve">Грузооборот </w:t>
      </w:r>
      <w:r w:rsidR="00E52DB5">
        <w:rPr>
          <w:rFonts w:eastAsia="Calibri"/>
        </w:rPr>
        <w:t>транспорта</w:t>
      </w:r>
      <w:r w:rsidRPr="00E847F0">
        <w:rPr>
          <w:rFonts w:eastAsia="Calibri"/>
        </w:rPr>
        <w:t xml:space="preserve"> (без трубопроводного) в январе – июне 201</w:t>
      </w:r>
      <w:r>
        <w:rPr>
          <w:rFonts w:eastAsia="Calibri"/>
        </w:rPr>
        <w:t>9</w:t>
      </w:r>
      <w:r w:rsidRPr="00E847F0">
        <w:rPr>
          <w:rFonts w:eastAsia="Calibri"/>
        </w:rPr>
        <w:t xml:space="preserve"> года </w:t>
      </w:r>
      <w:r>
        <w:rPr>
          <w:rFonts w:eastAsia="Calibri"/>
        </w:rPr>
        <w:t>увеличился на 40,1%</w:t>
      </w:r>
      <w:r w:rsidRPr="00E847F0">
        <w:rPr>
          <w:rFonts w:eastAsia="Calibri"/>
        </w:rPr>
        <w:t xml:space="preserve"> и составил </w:t>
      </w:r>
      <w:r>
        <w:rPr>
          <w:rFonts w:eastAsia="Calibri"/>
        </w:rPr>
        <w:t>172,7</w:t>
      </w:r>
      <w:r w:rsidRPr="00E847F0">
        <w:rPr>
          <w:rFonts w:eastAsia="Calibri"/>
        </w:rPr>
        <w:t xml:space="preserve"> млн. т</w:t>
      </w:r>
      <w:r w:rsidR="004E5BB1">
        <w:rPr>
          <w:rFonts w:eastAsia="Calibri"/>
        </w:rPr>
        <w:t>онно-километров</w:t>
      </w:r>
      <w:r w:rsidRPr="00E847F0">
        <w:rPr>
          <w:rFonts w:eastAsia="Calibri"/>
        </w:rPr>
        <w:t xml:space="preserve">. </w:t>
      </w:r>
      <w:r w:rsidR="00930FDA">
        <w:t xml:space="preserve">Рост грузооборота связан с </w:t>
      </w:r>
      <w:r w:rsidR="00930FDA" w:rsidRPr="00C0404F">
        <w:t xml:space="preserve">увеличением средней дальности перевозок транспортных предприятий города </w:t>
      </w:r>
      <w:r w:rsidR="00930FDA" w:rsidRPr="00B37581">
        <w:t>(на 31,2</w:t>
      </w:r>
      <w:r w:rsidR="00930FDA" w:rsidRPr="00C0404F">
        <w:t xml:space="preserve">% к </w:t>
      </w:r>
      <w:r w:rsidR="00930FDA" w:rsidRPr="00C0404F">
        <w:lastRenderedPageBreak/>
        <w:t>соответствующему периоду прошлого года)</w:t>
      </w:r>
      <w:r w:rsidR="00930FDA">
        <w:t xml:space="preserve">, а также с приходом на рынок </w:t>
      </w:r>
      <w:r w:rsidR="00930FDA" w:rsidRPr="00711DE8">
        <w:t xml:space="preserve">автотранспортных услуг новых </w:t>
      </w:r>
      <w:r w:rsidR="00930FDA">
        <w:t>организаций</w:t>
      </w:r>
      <w:r w:rsidR="00FD4065">
        <w:t xml:space="preserve"> </w:t>
      </w:r>
      <w:r w:rsidR="00CD58A8">
        <w:t>(ООО «Акрон плюс», АО «Волгомост»).</w:t>
      </w:r>
    </w:p>
    <w:p w:rsidR="009E46F7" w:rsidRPr="009E46F7" w:rsidRDefault="009E46F7" w:rsidP="00FF7CE3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A236D9">
        <w:rPr>
          <w:sz w:val="24"/>
          <w:szCs w:val="24"/>
        </w:rPr>
        <w:t xml:space="preserve">В 2019 году регулярные пассажирские перевозки в городском округе Тольятти осуществляют 13 предприятий транспорта: МП </w:t>
      </w:r>
      <w:r w:rsidR="00FD4065">
        <w:rPr>
          <w:sz w:val="24"/>
          <w:szCs w:val="24"/>
        </w:rPr>
        <w:t>«</w:t>
      </w:r>
      <w:r w:rsidRPr="00A236D9">
        <w:rPr>
          <w:sz w:val="24"/>
          <w:szCs w:val="24"/>
        </w:rPr>
        <w:t>ТТУ</w:t>
      </w:r>
      <w:r w:rsidR="00FD4065">
        <w:rPr>
          <w:sz w:val="24"/>
          <w:szCs w:val="24"/>
        </w:rPr>
        <w:t>» - 8 маршрутов, МП «</w:t>
      </w:r>
      <w:r w:rsidRPr="00A236D9">
        <w:rPr>
          <w:sz w:val="24"/>
          <w:szCs w:val="24"/>
        </w:rPr>
        <w:t>ТПАТП № 3</w:t>
      </w:r>
      <w:r w:rsidR="00FD4065">
        <w:rPr>
          <w:sz w:val="24"/>
          <w:szCs w:val="24"/>
        </w:rPr>
        <w:t>»</w:t>
      </w:r>
      <w:r w:rsidRPr="00A236D9">
        <w:rPr>
          <w:sz w:val="24"/>
          <w:szCs w:val="24"/>
        </w:rPr>
        <w:t xml:space="preserve"> - 37 маршрутов, общества с ограниченной ответственностью (11 фирм) - 33 маршрута. Перевозки по внутримуниципальным маршрутам осуществляются по договорам об </w:t>
      </w:r>
      <w:r w:rsidRPr="009E46F7">
        <w:rPr>
          <w:rFonts w:eastAsia="Calibri"/>
          <w:sz w:val="24"/>
          <w:szCs w:val="24"/>
        </w:rPr>
        <w:t>осуществлении регулярных перевозок по внутримуниципальным маршрутам городского округа Тольятти, заключенным на 5 лет (с 01.01.2015</w:t>
      </w:r>
      <w:r w:rsidR="00FD4065">
        <w:rPr>
          <w:rFonts w:eastAsia="Calibri"/>
          <w:sz w:val="24"/>
          <w:szCs w:val="24"/>
        </w:rPr>
        <w:t xml:space="preserve"> по 31.12.2019</w:t>
      </w:r>
      <w:r w:rsidRPr="009E46F7">
        <w:rPr>
          <w:rFonts w:eastAsia="Calibri"/>
          <w:sz w:val="24"/>
          <w:szCs w:val="24"/>
        </w:rPr>
        <w:t>).</w:t>
      </w:r>
    </w:p>
    <w:p w:rsidR="009E46F7" w:rsidRPr="009E46F7" w:rsidRDefault="009E46F7" w:rsidP="00FF7CE3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9E46F7">
        <w:rPr>
          <w:rFonts w:eastAsia="Calibri"/>
          <w:sz w:val="24"/>
          <w:szCs w:val="24"/>
        </w:rPr>
        <w:t>Пассажирооборот транспорта общего пользования в отчетном периоде увеличился на 6,3% к январю – июню 2018 году до 565,8 млн. пасс</w:t>
      </w:r>
      <w:r w:rsidR="00FF7CE3">
        <w:rPr>
          <w:rFonts w:eastAsia="Calibri"/>
          <w:sz w:val="24"/>
          <w:szCs w:val="24"/>
        </w:rPr>
        <w:t>ажиро-километров</w:t>
      </w:r>
      <w:r w:rsidRPr="009E46F7">
        <w:rPr>
          <w:rFonts w:eastAsia="Calibri"/>
          <w:sz w:val="24"/>
          <w:szCs w:val="24"/>
        </w:rPr>
        <w:t>.</w:t>
      </w:r>
    </w:p>
    <w:p w:rsidR="009E46F7" w:rsidRPr="00A236D9" w:rsidRDefault="009E46F7" w:rsidP="00FF7CE3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A236D9">
        <w:rPr>
          <w:rFonts w:eastAsia="Calibri"/>
          <w:sz w:val="24"/>
          <w:szCs w:val="24"/>
        </w:rPr>
        <w:t xml:space="preserve">На 1 июля 2019 года на балансе муниципальных пассажирских предприятий находятся 303 автобуса и 85 троллейбусов, из них полностью начислена амортизация на 237 автобусов и 23 троллейбуса. </w:t>
      </w:r>
    </w:p>
    <w:p w:rsidR="009E46F7" w:rsidRDefault="009E46F7" w:rsidP="00FF7CE3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9E46F7">
        <w:rPr>
          <w:rFonts w:eastAsia="Calibri"/>
          <w:sz w:val="24"/>
          <w:szCs w:val="24"/>
        </w:rPr>
        <w:t xml:space="preserve">В </w:t>
      </w:r>
      <w:r w:rsidR="00FD4065">
        <w:rPr>
          <w:rFonts w:eastAsia="Calibri"/>
          <w:sz w:val="24"/>
          <w:szCs w:val="24"/>
        </w:rPr>
        <w:t>текущем периоде</w:t>
      </w:r>
      <w:r w:rsidRPr="009E46F7">
        <w:rPr>
          <w:rFonts w:eastAsia="Calibri"/>
          <w:sz w:val="24"/>
          <w:szCs w:val="24"/>
        </w:rPr>
        <w:t xml:space="preserve"> продолжена работа по обеспечению более комфортных условий перевозок пассажиров, в том числе работа по обновлению подвижного состава муниципальных предприятий пассажирского транспорта: направляются письма о заинтересованности участия в действующих программах по обновлению подвижного состава на условиях софинансирования.</w:t>
      </w:r>
    </w:p>
    <w:p w:rsidR="005D0850" w:rsidRDefault="009E46F7" w:rsidP="005D0850">
      <w:pPr>
        <w:pStyle w:val="aff0"/>
        <w:spacing w:line="276" w:lineRule="auto"/>
        <w:jc w:val="center"/>
        <w:rPr>
          <w:sz w:val="24"/>
          <w:szCs w:val="24"/>
        </w:rPr>
      </w:pPr>
      <w:r w:rsidRPr="00F83CC7">
        <w:rPr>
          <w:sz w:val="24"/>
          <w:szCs w:val="24"/>
        </w:rPr>
        <w:t xml:space="preserve">Ожидаемое выполнение прогнозных показателей </w:t>
      </w:r>
    </w:p>
    <w:p w:rsidR="009E46F7" w:rsidRDefault="009E46F7" w:rsidP="005D0850">
      <w:pPr>
        <w:pStyle w:val="aff0"/>
        <w:spacing w:line="276" w:lineRule="auto"/>
        <w:jc w:val="center"/>
        <w:rPr>
          <w:sz w:val="24"/>
          <w:szCs w:val="24"/>
        </w:rPr>
      </w:pPr>
      <w:r w:rsidRPr="00F83CC7">
        <w:rPr>
          <w:sz w:val="24"/>
          <w:szCs w:val="24"/>
        </w:rPr>
        <w:t>по разделу «Транспорт»</w:t>
      </w:r>
      <w:r w:rsidR="005D0850">
        <w:rPr>
          <w:sz w:val="24"/>
          <w:szCs w:val="24"/>
        </w:rPr>
        <w:t xml:space="preserve"> </w:t>
      </w:r>
      <w:r w:rsidRPr="00F83CC7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Pr="00F83CC7">
        <w:rPr>
          <w:sz w:val="24"/>
          <w:szCs w:val="24"/>
        </w:rPr>
        <w:t xml:space="preserve"> год</w:t>
      </w:r>
    </w:p>
    <w:tbl>
      <w:tblPr>
        <w:tblW w:w="96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1418"/>
        <w:gridCol w:w="1417"/>
        <w:gridCol w:w="1418"/>
        <w:gridCol w:w="1318"/>
      </w:tblGrid>
      <w:tr w:rsidR="009E46F7" w:rsidRPr="00E847F0" w:rsidTr="00FD4065">
        <w:trPr>
          <w:trHeight w:val="33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6F7" w:rsidRPr="00F83CC7" w:rsidRDefault="009E46F7" w:rsidP="00FD4065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CC7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6F7" w:rsidRPr="00F83CC7" w:rsidRDefault="009E46F7" w:rsidP="00FD4065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CC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6F7" w:rsidRPr="00F83CC7" w:rsidRDefault="009E46F7" w:rsidP="00FD4065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CC7">
              <w:rPr>
                <w:sz w:val="24"/>
                <w:szCs w:val="24"/>
              </w:rPr>
              <w:t>Прогноз на 201</w:t>
            </w:r>
            <w:r>
              <w:rPr>
                <w:sz w:val="24"/>
                <w:szCs w:val="24"/>
              </w:rPr>
              <w:t>9</w:t>
            </w:r>
            <w:r w:rsidRPr="00F83C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F7" w:rsidRPr="00F83CC7" w:rsidRDefault="009E46F7" w:rsidP="00FD4065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3CC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F83CC7">
              <w:rPr>
                <w:sz w:val="24"/>
                <w:szCs w:val="24"/>
              </w:rPr>
              <w:t xml:space="preserve"> год (оценка)</w:t>
            </w:r>
          </w:p>
        </w:tc>
      </w:tr>
      <w:tr w:rsidR="009E46F7" w:rsidRPr="00E847F0" w:rsidTr="00FD4065">
        <w:trPr>
          <w:trHeight w:val="24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6F7" w:rsidRPr="00F83CC7" w:rsidRDefault="009E46F7" w:rsidP="009E46F7">
            <w:pPr>
              <w:pStyle w:val="aff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6F7" w:rsidRPr="00F83CC7" w:rsidRDefault="009E46F7" w:rsidP="009E46F7">
            <w:pPr>
              <w:pStyle w:val="aff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6F7" w:rsidRPr="00F83CC7" w:rsidRDefault="009E46F7" w:rsidP="009E46F7">
            <w:pPr>
              <w:pStyle w:val="aff0"/>
              <w:spacing w:line="300" w:lineRule="auto"/>
              <w:ind w:firstLine="0"/>
              <w:jc w:val="center"/>
              <w:rPr>
                <w:sz w:val="24"/>
                <w:szCs w:val="24"/>
              </w:rPr>
            </w:pPr>
            <w:r w:rsidRPr="00F83CC7">
              <w:rPr>
                <w:sz w:val="24"/>
                <w:szCs w:val="24"/>
              </w:rPr>
              <w:t>1 вариант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6F7" w:rsidRPr="00F83CC7" w:rsidRDefault="009E46F7" w:rsidP="009E46F7">
            <w:pPr>
              <w:pStyle w:val="aff0"/>
              <w:spacing w:line="300" w:lineRule="auto"/>
              <w:ind w:firstLine="0"/>
              <w:jc w:val="center"/>
              <w:rPr>
                <w:sz w:val="24"/>
                <w:szCs w:val="24"/>
              </w:rPr>
            </w:pPr>
            <w:r w:rsidRPr="00F83CC7">
              <w:rPr>
                <w:sz w:val="24"/>
                <w:szCs w:val="24"/>
              </w:rPr>
              <w:t>2 вариант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6F7" w:rsidRPr="00F83CC7" w:rsidRDefault="009E46F7" w:rsidP="009E46F7">
            <w:pPr>
              <w:pStyle w:val="aff0"/>
              <w:spacing w:line="30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вариант</w:t>
            </w: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F7" w:rsidRPr="00F83CC7" w:rsidRDefault="009E46F7" w:rsidP="009E46F7">
            <w:pPr>
              <w:pStyle w:val="aff0"/>
              <w:spacing w:line="300" w:lineRule="auto"/>
              <w:rPr>
                <w:sz w:val="24"/>
                <w:szCs w:val="24"/>
              </w:rPr>
            </w:pPr>
          </w:p>
        </w:tc>
      </w:tr>
      <w:tr w:rsidR="009E46F7" w:rsidRPr="00E847F0" w:rsidTr="00FD4065">
        <w:trPr>
          <w:trHeight w:val="76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6F7" w:rsidRPr="00F83CC7" w:rsidRDefault="009E46F7" w:rsidP="00FF7CE3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Грузооборот транспорта (без трубопроводного)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6F7" w:rsidRPr="00F83CC7" w:rsidRDefault="009E46F7" w:rsidP="00FF7CE3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F83CC7">
              <w:rPr>
                <w:sz w:val="24"/>
                <w:szCs w:val="24"/>
              </w:rPr>
              <w:t>млн. т. 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6F7" w:rsidRDefault="009E46F7" w:rsidP="00FF7C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6F7" w:rsidRDefault="009E46F7" w:rsidP="00FF7C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6F7" w:rsidRDefault="009E46F7" w:rsidP="00FF7C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6F7" w:rsidRDefault="00930FDA" w:rsidP="00FF7C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345,4</w:t>
            </w:r>
          </w:p>
        </w:tc>
      </w:tr>
      <w:tr w:rsidR="009E46F7" w:rsidRPr="00E847F0" w:rsidTr="00FD4065">
        <w:trPr>
          <w:trHeight w:val="77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6F7" w:rsidRPr="00F83CC7" w:rsidRDefault="009E46F7" w:rsidP="00FF7CE3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F83CC7">
              <w:rPr>
                <w:sz w:val="24"/>
                <w:szCs w:val="24"/>
              </w:rPr>
              <w:t>Пассажирооборот</w:t>
            </w:r>
            <w:r>
              <w:rPr>
                <w:sz w:val="24"/>
                <w:szCs w:val="24"/>
              </w:rPr>
              <w:t xml:space="preserve"> транспорта общего пользования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6F7" w:rsidRPr="00F83CC7" w:rsidRDefault="009E46F7" w:rsidP="00FF7CE3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F83CC7">
              <w:rPr>
                <w:sz w:val="24"/>
                <w:szCs w:val="24"/>
              </w:rPr>
              <w:t>млн. пасс. 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6F7" w:rsidRPr="00F83CC7" w:rsidRDefault="009E46F7" w:rsidP="00FF7C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6F7" w:rsidRPr="00F83CC7" w:rsidRDefault="009E46F7" w:rsidP="00FF7C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46F7" w:rsidRDefault="009E46F7" w:rsidP="00FF7C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1128,9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6F7" w:rsidRPr="00F83CC7" w:rsidRDefault="009E46F7" w:rsidP="00FF7C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1149,0</w:t>
            </w:r>
          </w:p>
        </w:tc>
      </w:tr>
    </w:tbl>
    <w:p w:rsidR="000149E7" w:rsidRDefault="000149E7" w:rsidP="00930FDA">
      <w:pPr>
        <w:widowControl w:val="0"/>
        <w:spacing w:line="300" w:lineRule="auto"/>
        <w:ind w:firstLine="709"/>
        <w:jc w:val="both"/>
        <w:rPr>
          <w:rFonts w:eastAsia="Calibri"/>
          <w:sz w:val="24"/>
          <w:szCs w:val="24"/>
        </w:rPr>
      </w:pPr>
    </w:p>
    <w:p w:rsidR="009E46F7" w:rsidRPr="001B24BC" w:rsidRDefault="009E46F7" w:rsidP="00930FDA">
      <w:pPr>
        <w:widowControl w:val="0"/>
        <w:spacing w:line="300" w:lineRule="auto"/>
        <w:ind w:firstLine="709"/>
        <w:jc w:val="both"/>
        <w:rPr>
          <w:rFonts w:eastAsia="Calibri"/>
          <w:sz w:val="24"/>
          <w:szCs w:val="24"/>
        </w:rPr>
      </w:pPr>
      <w:r w:rsidRPr="001B24BC">
        <w:rPr>
          <w:rFonts w:eastAsia="Calibri"/>
          <w:sz w:val="24"/>
          <w:szCs w:val="24"/>
        </w:rPr>
        <w:t>На основании фактических данных за истекший период текущего года</w:t>
      </w:r>
      <w:r w:rsidR="00930FDA">
        <w:rPr>
          <w:rFonts w:eastAsia="Calibri"/>
          <w:sz w:val="24"/>
          <w:szCs w:val="24"/>
        </w:rPr>
        <w:t>,</w:t>
      </w:r>
      <w:r w:rsidRPr="001B24B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с учетом темпа роста </w:t>
      </w:r>
      <w:r w:rsidR="00930FDA">
        <w:rPr>
          <w:rFonts w:eastAsia="Calibri"/>
          <w:sz w:val="24"/>
          <w:szCs w:val="24"/>
        </w:rPr>
        <w:t>показателя</w:t>
      </w:r>
      <w:r w:rsidRPr="001B24BC">
        <w:rPr>
          <w:rFonts w:eastAsia="Calibri"/>
          <w:sz w:val="24"/>
          <w:szCs w:val="24"/>
        </w:rPr>
        <w:t>, грузооборот по оценке 201</w:t>
      </w:r>
      <w:r>
        <w:rPr>
          <w:rFonts w:eastAsia="Calibri"/>
          <w:sz w:val="24"/>
          <w:szCs w:val="24"/>
        </w:rPr>
        <w:t>9</w:t>
      </w:r>
      <w:r w:rsidRPr="001B24BC">
        <w:rPr>
          <w:rFonts w:eastAsia="Calibri"/>
          <w:sz w:val="24"/>
          <w:szCs w:val="24"/>
        </w:rPr>
        <w:t xml:space="preserve"> года, составит </w:t>
      </w:r>
      <w:r w:rsidR="00930FDA" w:rsidRPr="00CD58A8">
        <w:rPr>
          <w:rFonts w:eastAsia="Calibri"/>
          <w:sz w:val="24"/>
          <w:szCs w:val="24"/>
        </w:rPr>
        <w:t>345,4</w:t>
      </w:r>
      <w:r w:rsidRPr="00CD58A8">
        <w:rPr>
          <w:rFonts w:eastAsia="Calibri"/>
          <w:sz w:val="24"/>
          <w:szCs w:val="24"/>
        </w:rPr>
        <w:t xml:space="preserve"> млн. т. км.</w:t>
      </w:r>
      <w:r w:rsidRPr="001B24BC">
        <w:rPr>
          <w:rFonts w:eastAsia="Calibri"/>
          <w:sz w:val="24"/>
          <w:szCs w:val="24"/>
        </w:rPr>
        <w:t xml:space="preserve"> </w:t>
      </w:r>
    </w:p>
    <w:p w:rsidR="009E46F7" w:rsidRDefault="009E46F7" w:rsidP="00930FDA">
      <w:pPr>
        <w:widowControl w:val="0"/>
        <w:spacing w:line="300" w:lineRule="auto"/>
        <w:ind w:firstLine="709"/>
        <w:jc w:val="both"/>
        <w:rPr>
          <w:rFonts w:eastAsia="Calibri"/>
          <w:sz w:val="24"/>
          <w:szCs w:val="24"/>
        </w:rPr>
      </w:pPr>
      <w:r w:rsidRPr="00E847F0">
        <w:rPr>
          <w:rFonts w:eastAsia="Calibri"/>
          <w:sz w:val="24"/>
          <w:szCs w:val="24"/>
        </w:rPr>
        <w:t>В 201</w:t>
      </w:r>
      <w:r>
        <w:rPr>
          <w:rFonts w:eastAsia="Calibri"/>
          <w:sz w:val="24"/>
          <w:szCs w:val="24"/>
        </w:rPr>
        <w:t>9</w:t>
      </w:r>
      <w:r w:rsidRPr="00E847F0">
        <w:rPr>
          <w:rFonts w:eastAsia="Calibri"/>
          <w:sz w:val="24"/>
          <w:szCs w:val="24"/>
        </w:rPr>
        <w:t xml:space="preserve"> году пассажирооборот транспорта общего пользования </w:t>
      </w:r>
      <w:r w:rsidR="00FD4065">
        <w:rPr>
          <w:rFonts w:eastAsia="Calibri"/>
          <w:sz w:val="24"/>
          <w:szCs w:val="24"/>
        </w:rPr>
        <w:t>увеличится</w:t>
      </w:r>
      <w:r w:rsidRPr="00E847F0">
        <w:rPr>
          <w:rFonts w:eastAsia="Calibri"/>
          <w:sz w:val="24"/>
          <w:szCs w:val="24"/>
        </w:rPr>
        <w:t xml:space="preserve"> на 0,</w:t>
      </w:r>
      <w:r>
        <w:rPr>
          <w:rFonts w:eastAsia="Calibri"/>
          <w:sz w:val="24"/>
          <w:szCs w:val="24"/>
        </w:rPr>
        <w:t>6</w:t>
      </w:r>
      <w:r w:rsidRPr="00E847F0">
        <w:rPr>
          <w:rFonts w:eastAsia="Calibri"/>
          <w:sz w:val="24"/>
          <w:szCs w:val="24"/>
        </w:rPr>
        <w:t>% к уровню 201</w:t>
      </w:r>
      <w:r>
        <w:rPr>
          <w:rFonts w:eastAsia="Calibri"/>
          <w:sz w:val="24"/>
          <w:szCs w:val="24"/>
        </w:rPr>
        <w:t>8</w:t>
      </w:r>
      <w:r w:rsidRPr="00E847F0">
        <w:rPr>
          <w:rFonts w:eastAsia="Calibri"/>
          <w:sz w:val="24"/>
          <w:szCs w:val="24"/>
        </w:rPr>
        <w:t xml:space="preserve"> года </w:t>
      </w:r>
      <w:r w:rsidR="00FD4065">
        <w:rPr>
          <w:rFonts w:eastAsia="Calibri"/>
          <w:sz w:val="24"/>
          <w:szCs w:val="24"/>
        </w:rPr>
        <w:t>и по оценке составит</w:t>
      </w:r>
      <w:r w:rsidRPr="00E847F0">
        <w:rPr>
          <w:rFonts w:eastAsia="Calibri"/>
          <w:sz w:val="24"/>
          <w:szCs w:val="24"/>
        </w:rPr>
        <w:t xml:space="preserve"> 1</w:t>
      </w:r>
      <w:r>
        <w:rPr>
          <w:rFonts w:eastAsia="Calibri"/>
          <w:sz w:val="24"/>
          <w:szCs w:val="24"/>
        </w:rPr>
        <w:t>149</w:t>
      </w:r>
      <w:r w:rsidRPr="00E847F0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>0</w:t>
      </w:r>
      <w:r w:rsidRPr="00E847F0">
        <w:rPr>
          <w:rFonts w:eastAsia="Calibri"/>
          <w:sz w:val="24"/>
          <w:szCs w:val="24"/>
        </w:rPr>
        <w:t xml:space="preserve"> млн. пасс. км. Незначительному росту показателя будет способствовать замена подвижного состава на более комфортабельные и вместительные автобусы и троллейбусы.</w:t>
      </w:r>
    </w:p>
    <w:p w:rsidR="00230791" w:rsidRPr="00230791" w:rsidRDefault="00230791" w:rsidP="00D0645A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230791">
        <w:rPr>
          <w:rFonts w:eastAsia="Calibri"/>
          <w:sz w:val="24"/>
          <w:szCs w:val="24"/>
        </w:rPr>
        <w:t>В городском округе Тольятти разработана и утверждена постановлением мэрии от 29.01.2014 № 233-п/1 муниципальная программа «Развитие транспортной системы и дорожного хозяйства городского округа Тольятти», которая включает в себя подпрограмму «Модернизация и развитие автомобильных дорог общего пользования местного значения городского округа Тольятти на 2014-2020 гг.».</w:t>
      </w:r>
    </w:p>
    <w:p w:rsidR="00230791" w:rsidRPr="00230791" w:rsidRDefault="00230791" w:rsidP="00D0645A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230791">
        <w:rPr>
          <w:rFonts w:eastAsia="Calibri"/>
          <w:sz w:val="24"/>
          <w:szCs w:val="24"/>
        </w:rPr>
        <w:t>В 2019 году в рамках национального проекта «Безопасные качественные автомобильные дороги» предусмотрено выполнение ремонта 15 автомобильных дорог общего пользования местного значения протяженностью 17,2 км.</w:t>
      </w:r>
    </w:p>
    <w:p w:rsidR="00D0645A" w:rsidRDefault="00230791" w:rsidP="00D0645A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230791">
        <w:rPr>
          <w:rFonts w:eastAsia="Calibri"/>
          <w:sz w:val="24"/>
          <w:szCs w:val="24"/>
        </w:rPr>
        <w:t xml:space="preserve">Также, в рамках ремонта автомобильных дорог запланированы мероприятия по приведению в нормативное состояние автомобильных дорог, снижению уровня перегрузки </w:t>
      </w:r>
      <w:r w:rsidRPr="00230791">
        <w:rPr>
          <w:rFonts w:eastAsia="Calibri"/>
          <w:sz w:val="24"/>
          <w:szCs w:val="24"/>
        </w:rPr>
        <w:lastRenderedPageBreak/>
        <w:t xml:space="preserve">и ликвидации мест концентрации дорожно-транспортных происшествий. </w:t>
      </w:r>
    </w:p>
    <w:p w:rsidR="0090607E" w:rsidRPr="005319C7" w:rsidRDefault="00230791" w:rsidP="00D0645A">
      <w:pPr>
        <w:widowControl w:val="0"/>
        <w:spacing w:line="276" w:lineRule="auto"/>
        <w:ind w:firstLine="709"/>
        <w:jc w:val="both"/>
        <w:rPr>
          <w:b/>
          <w:sz w:val="24"/>
          <w:szCs w:val="24"/>
          <w:highlight w:val="yellow"/>
        </w:rPr>
      </w:pPr>
      <w:r w:rsidRPr="00230791">
        <w:rPr>
          <w:rFonts w:eastAsia="Calibri"/>
          <w:sz w:val="24"/>
          <w:szCs w:val="24"/>
        </w:rPr>
        <w:t>Планом мероприятий, связанных с празднованием 50-летия производства первого легкового автомобиля ВАЗ в городском округе Тольятти предусмотрены работы по строительству магистральной улицы общегородского зн</w:t>
      </w:r>
      <w:r w:rsidR="00D0645A">
        <w:rPr>
          <w:rFonts w:eastAsia="Calibri"/>
          <w:sz w:val="24"/>
          <w:szCs w:val="24"/>
        </w:rPr>
        <w:t>ачения регулируемого движения ул</w:t>
      </w:r>
      <w:r w:rsidRPr="00230791">
        <w:rPr>
          <w:rFonts w:eastAsia="Calibri"/>
          <w:sz w:val="24"/>
          <w:szCs w:val="24"/>
        </w:rPr>
        <w:t>. Офицерской от Полякова до Южного шоссе (0,32 км) и ул. Офицерской (0,58 км).</w:t>
      </w:r>
    </w:p>
    <w:p w:rsidR="00D0645A" w:rsidRDefault="00D0645A" w:rsidP="00055BD3">
      <w:pPr>
        <w:spacing w:line="276" w:lineRule="auto"/>
        <w:jc w:val="center"/>
        <w:rPr>
          <w:b/>
          <w:sz w:val="24"/>
          <w:szCs w:val="24"/>
        </w:rPr>
      </w:pPr>
    </w:p>
    <w:p w:rsidR="00A50BA4" w:rsidRPr="00830E2A" w:rsidRDefault="00A50BA4" w:rsidP="00055BD3">
      <w:pPr>
        <w:spacing w:line="276" w:lineRule="auto"/>
        <w:jc w:val="center"/>
        <w:rPr>
          <w:b/>
          <w:sz w:val="24"/>
          <w:szCs w:val="24"/>
        </w:rPr>
      </w:pPr>
      <w:r w:rsidRPr="00830E2A">
        <w:rPr>
          <w:b/>
          <w:sz w:val="24"/>
          <w:szCs w:val="24"/>
        </w:rPr>
        <w:t>Связь</w:t>
      </w:r>
      <w:bookmarkStart w:id="8" w:name="связь"/>
      <w:bookmarkEnd w:id="8"/>
    </w:p>
    <w:p w:rsidR="00A50BA4" w:rsidRPr="005319C7" w:rsidRDefault="00A50BA4" w:rsidP="00443EE9">
      <w:pPr>
        <w:spacing w:line="276" w:lineRule="auto"/>
        <w:ind w:firstLine="709"/>
        <w:jc w:val="center"/>
        <w:rPr>
          <w:b/>
          <w:sz w:val="24"/>
          <w:szCs w:val="24"/>
          <w:highlight w:val="yellow"/>
        </w:rPr>
      </w:pPr>
    </w:p>
    <w:p w:rsidR="009F5E37" w:rsidRPr="00443EE9" w:rsidRDefault="002D0FA0" w:rsidP="009F5E37">
      <w:pPr>
        <w:pStyle w:val="aff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 2019 году услуги почтовой и курьерской связи, телевизионного и радиовещания, а также услуги в сфере телекоммуникаций оказывают 11 организаций. </w:t>
      </w:r>
      <w:r w:rsidR="00FD35CF" w:rsidRPr="00FE353A">
        <w:rPr>
          <w:color w:val="000000"/>
          <w:sz w:val="24"/>
          <w:szCs w:val="24"/>
        </w:rPr>
        <w:t xml:space="preserve">По итогам </w:t>
      </w:r>
      <w:r w:rsidR="00FD35CF">
        <w:rPr>
          <w:color w:val="000000"/>
          <w:sz w:val="24"/>
          <w:szCs w:val="24"/>
        </w:rPr>
        <w:t>1 полугодия</w:t>
      </w:r>
      <w:r w:rsidR="00FD35CF" w:rsidRPr="00FE353A">
        <w:rPr>
          <w:color w:val="000000"/>
          <w:sz w:val="24"/>
          <w:szCs w:val="24"/>
        </w:rPr>
        <w:t xml:space="preserve"> 201</w:t>
      </w:r>
      <w:r w:rsidR="00FD35CF">
        <w:rPr>
          <w:color w:val="000000"/>
          <w:sz w:val="24"/>
          <w:szCs w:val="24"/>
        </w:rPr>
        <w:t>9</w:t>
      </w:r>
      <w:r w:rsidR="00FD35CF" w:rsidRPr="00FE353A">
        <w:rPr>
          <w:color w:val="000000"/>
          <w:sz w:val="24"/>
          <w:szCs w:val="24"/>
        </w:rPr>
        <w:t xml:space="preserve"> года объем услуг, оказанных предприятиями связи, </w:t>
      </w:r>
      <w:r w:rsidR="00FD35CF" w:rsidRPr="00090080">
        <w:rPr>
          <w:sz w:val="24"/>
          <w:szCs w:val="24"/>
        </w:rPr>
        <w:t>составил 1</w:t>
      </w:r>
      <w:r w:rsidR="00FD35CF">
        <w:rPr>
          <w:sz w:val="24"/>
          <w:szCs w:val="24"/>
        </w:rPr>
        <w:t> 628,5</w:t>
      </w:r>
      <w:r w:rsidR="00FD35CF" w:rsidRPr="00090080">
        <w:rPr>
          <w:sz w:val="24"/>
          <w:szCs w:val="24"/>
        </w:rPr>
        <w:t xml:space="preserve"> мл</w:t>
      </w:r>
      <w:r w:rsidR="00FD35CF">
        <w:rPr>
          <w:sz w:val="24"/>
          <w:szCs w:val="24"/>
        </w:rPr>
        <w:t>н</w:t>
      </w:r>
      <w:r w:rsidR="00FD35CF" w:rsidRPr="00090080">
        <w:rPr>
          <w:sz w:val="24"/>
          <w:szCs w:val="24"/>
        </w:rPr>
        <w:t>. рублей (1</w:t>
      </w:r>
      <w:r w:rsidR="00FD35CF">
        <w:rPr>
          <w:sz w:val="24"/>
          <w:szCs w:val="24"/>
        </w:rPr>
        <w:t>20</w:t>
      </w:r>
      <w:r w:rsidR="00FD35CF" w:rsidRPr="00090080">
        <w:rPr>
          <w:sz w:val="24"/>
          <w:szCs w:val="24"/>
        </w:rPr>
        <w:t>,</w:t>
      </w:r>
      <w:r w:rsidR="00FD35CF">
        <w:rPr>
          <w:sz w:val="24"/>
          <w:szCs w:val="24"/>
        </w:rPr>
        <w:t>4</w:t>
      </w:r>
      <w:r w:rsidR="00FD35CF" w:rsidRPr="00090080">
        <w:rPr>
          <w:sz w:val="24"/>
          <w:szCs w:val="24"/>
        </w:rPr>
        <w:t xml:space="preserve">% в действующих ценах к уровню аналогичного периода предыдущего года). </w:t>
      </w:r>
      <w:r w:rsidR="009F5E37" w:rsidRPr="00443EE9">
        <w:rPr>
          <w:sz w:val="24"/>
          <w:szCs w:val="24"/>
        </w:rPr>
        <w:t xml:space="preserve">Доля услуг связи, оказанных населению городского округа Тольятти, от общего объема услуг связи составляет около </w:t>
      </w:r>
      <w:r w:rsidR="009F5E37" w:rsidRPr="00C21C73">
        <w:rPr>
          <w:sz w:val="24"/>
          <w:szCs w:val="24"/>
        </w:rPr>
        <w:t>80</w:t>
      </w:r>
      <w:r w:rsidR="00D0645A">
        <w:rPr>
          <w:sz w:val="24"/>
          <w:szCs w:val="24"/>
        </w:rPr>
        <w:t>,0</w:t>
      </w:r>
      <w:r w:rsidR="009F5E37" w:rsidRPr="00C21C73">
        <w:rPr>
          <w:sz w:val="24"/>
          <w:szCs w:val="24"/>
        </w:rPr>
        <w:t>%</w:t>
      </w:r>
      <w:r w:rsidR="009F5E37" w:rsidRPr="00443EE9">
        <w:rPr>
          <w:sz w:val="24"/>
          <w:szCs w:val="24"/>
        </w:rPr>
        <w:t xml:space="preserve">. </w:t>
      </w:r>
    </w:p>
    <w:p w:rsidR="009F5E37" w:rsidRPr="00443EE9" w:rsidRDefault="009F5E37" w:rsidP="009F5E37">
      <w:pPr>
        <w:pStyle w:val="aff0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>Объем услуг почтовой связи в 1 полугодии 201</w:t>
      </w:r>
      <w:r>
        <w:rPr>
          <w:sz w:val="24"/>
          <w:szCs w:val="24"/>
        </w:rPr>
        <w:t>9</w:t>
      </w:r>
      <w:r w:rsidRPr="00443EE9">
        <w:rPr>
          <w:sz w:val="24"/>
          <w:szCs w:val="24"/>
        </w:rPr>
        <w:t xml:space="preserve"> года увеличился на </w:t>
      </w:r>
      <w:r>
        <w:rPr>
          <w:sz w:val="24"/>
          <w:szCs w:val="24"/>
        </w:rPr>
        <w:t>9</w:t>
      </w:r>
      <w:r w:rsidRPr="00443EE9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Pr="00443EE9">
        <w:rPr>
          <w:sz w:val="24"/>
          <w:szCs w:val="24"/>
        </w:rPr>
        <w:t>% к соответствующему периоду 201</w:t>
      </w:r>
      <w:r>
        <w:rPr>
          <w:sz w:val="24"/>
          <w:szCs w:val="24"/>
        </w:rPr>
        <w:t>8</w:t>
      </w:r>
      <w:r w:rsidRPr="00443EE9">
        <w:rPr>
          <w:sz w:val="24"/>
          <w:szCs w:val="24"/>
        </w:rPr>
        <w:t xml:space="preserve"> года и составил 2</w:t>
      </w:r>
      <w:r>
        <w:rPr>
          <w:sz w:val="24"/>
          <w:szCs w:val="24"/>
        </w:rPr>
        <w:t>88</w:t>
      </w:r>
      <w:r w:rsidRPr="00443EE9">
        <w:rPr>
          <w:sz w:val="24"/>
          <w:szCs w:val="24"/>
        </w:rPr>
        <w:t xml:space="preserve">,4 млн. рублей. </w:t>
      </w:r>
    </w:p>
    <w:p w:rsidR="009F5E37" w:rsidRPr="00443EE9" w:rsidRDefault="009F5E37" w:rsidP="009F5E37">
      <w:pPr>
        <w:pStyle w:val="aff0"/>
        <w:spacing w:line="276" w:lineRule="auto"/>
        <w:rPr>
          <w:sz w:val="24"/>
          <w:szCs w:val="24"/>
        </w:rPr>
      </w:pPr>
      <w:r w:rsidRPr="00443EE9">
        <w:rPr>
          <w:sz w:val="24"/>
          <w:szCs w:val="24"/>
        </w:rPr>
        <w:t xml:space="preserve">Объем услуг в области телевизионного и радиовещания, а также в сфере телекоммуникаций составил 1 </w:t>
      </w:r>
      <w:r>
        <w:rPr>
          <w:sz w:val="24"/>
          <w:szCs w:val="24"/>
        </w:rPr>
        <w:t>340</w:t>
      </w:r>
      <w:r w:rsidRPr="00443EE9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443EE9">
        <w:rPr>
          <w:sz w:val="24"/>
          <w:szCs w:val="24"/>
        </w:rPr>
        <w:t xml:space="preserve"> млн. рублей, что на </w:t>
      </w:r>
      <w:r>
        <w:rPr>
          <w:sz w:val="24"/>
          <w:szCs w:val="24"/>
        </w:rPr>
        <w:t>22</w:t>
      </w:r>
      <w:r w:rsidRPr="00443EE9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443EE9">
        <w:rPr>
          <w:sz w:val="24"/>
          <w:szCs w:val="24"/>
        </w:rPr>
        <w:t>% больше соответствующего периода 201</w:t>
      </w:r>
      <w:r>
        <w:rPr>
          <w:sz w:val="24"/>
          <w:szCs w:val="24"/>
        </w:rPr>
        <w:t>8</w:t>
      </w:r>
      <w:r w:rsidRPr="00443EE9">
        <w:rPr>
          <w:sz w:val="24"/>
          <w:szCs w:val="24"/>
        </w:rPr>
        <w:t xml:space="preserve"> года. На территории городского округа Тольятти в данной сфере осуществляют деятельность такие операторы, как ОАО «Лада Медиа», ООО «ЛИК», ПАО «Мегафон», ООО «ИнфоЛада», ПАО </w:t>
      </w:r>
      <w:r>
        <w:rPr>
          <w:sz w:val="24"/>
          <w:szCs w:val="24"/>
        </w:rPr>
        <w:t>«</w:t>
      </w:r>
      <w:r w:rsidRPr="00443EE9">
        <w:rPr>
          <w:sz w:val="24"/>
          <w:szCs w:val="24"/>
        </w:rPr>
        <w:t>МТС</w:t>
      </w:r>
      <w:r>
        <w:rPr>
          <w:sz w:val="24"/>
          <w:szCs w:val="24"/>
        </w:rPr>
        <w:t>»</w:t>
      </w:r>
      <w:r w:rsidRPr="00443EE9">
        <w:rPr>
          <w:sz w:val="24"/>
          <w:szCs w:val="24"/>
        </w:rPr>
        <w:t xml:space="preserve"> и др</w:t>
      </w:r>
      <w:r>
        <w:rPr>
          <w:sz w:val="24"/>
          <w:szCs w:val="24"/>
        </w:rPr>
        <w:t>угие</w:t>
      </w:r>
      <w:r w:rsidRPr="00443EE9">
        <w:rPr>
          <w:sz w:val="24"/>
          <w:szCs w:val="24"/>
        </w:rPr>
        <w:t xml:space="preserve">. </w:t>
      </w:r>
    </w:p>
    <w:p w:rsidR="007A7291" w:rsidRDefault="00FF7CE3" w:rsidP="007A7291">
      <w:pPr>
        <w:pStyle w:val="aff0"/>
        <w:spacing w:line="276" w:lineRule="auto"/>
        <w:rPr>
          <w:sz w:val="24"/>
          <w:szCs w:val="24"/>
        </w:rPr>
      </w:pPr>
      <w:r w:rsidRPr="00FF7CE3">
        <w:rPr>
          <w:sz w:val="24"/>
          <w:szCs w:val="24"/>
        </w:rPr>
        <w:t>Ожидается, что динамика показателя сохранится до конца года, что связано с постоянным спросом на услуги по пропуску трафика, чему способствует развитие технологий доступа к сети Интернет за счет внедрения и расширения мобильными операторами сети 4G территории города.</w:t>
      </w:r>
    </w:p>
    <w:p w:rsidR="000149E7" w:rsidRDefault="000149E7" w:rsidP="007A7291">
      <w:pPr>
        <w:pStyle w:val="aff0"/>
        <w:spacing w:line="276" w:lineRule="auto"/>
        <w:rPr>
          <w:bCs/>
          <w:sz w:val="24"/>
          <w:szCs w:val="24"/>
        </w:rPr>
      </w:pPr>
    </w:p>
    <w:p w:rsidR="007A7291" w:rsidRDefault="00FD35CF" w:rsidP="007A7291">
      <w:pPr>
        <w:pStyle w:val="aff0"/>
        <w:spacing w:line="276" w:lineRule="auto"/>
        <w:rPr>
          <w:bCs/>
          <w:sz w:val="24"/>
          <w:szCs w:val="24"/>
        </w:rPr>
      </w:pPr>
      <w:r w:rsidRPr="005554B7">
        <w:rPr>
          <w:bCs/>
          <w:sz w:val="24"/>
          <w:szCs w:val="24"/>
        </w:rPr>
        <w:t>Ожидаемое выполнение прогнозных показателей по разделу «</w:t>
      </w:r>
      <w:r>
        <w:rPr>
          <w:bCs/>
          <w:sz w:val="24"/>
          <w:szCs w:val="24"/>
        </w:rPr>
        <w:t>Связь</w:t>
      </w:r>
      <w:r w:rsidRPr="005554B7">
        <w:rPr>
          <w:bCs/>
          <w:sz w:val="24"/>
          <w:szCs w:val="24"/>
        </w:rPr>
        <w:t>»</w:t>
      </w:r>
      <w:r w:rsidR="00FD4065">
        <w:rPr>
          <w:bCs/>
          <w:sz w:val="24"/>
          <w:szCs w:val="24"/>
        </w:rPr>
        <w:t xml:space="preserve"> </w:t>
      </w:r>
      <w:r w:rsidRPr="005554B7">
        <w:rPr>
          <w:bCs/>
          <w:sz w:val="24"/>
          <w:szCs w:val="24"/>
        </w:rPr>
        <w:t>на 201</w:t>
      </w:r>
      <w:r>
        <w:rPr>
          <w:bCs/>
          <w:sz w:val="24"/>
          <w:szCs w:val="24"/>
        </w:rPr>
        <w:t>9</w:t>
      </w:r>
      <w:r w:rsidRPr="005554B7">
        <w:rPr>
          <w:bCs/>
          <w:sz w:val="24"/>
          <w:szCs w:val="24"/>
        </w:rPr>
        <w:t xml:space="preserve"> год</w:t>
      </w:r>
    </w:p>
    <w:p w:rsidR="000149E7" w:rsidRDefault="000149E7" w:rsidP="007A7291">
      <w:pPr>
        <w:pStyle w:val="aff0"/>
        <w:spacing w:line="276" w:lineRule="auto"/>
        <w:rPr>
          <w:bCs/>
          <w:sz w:val="24"/>
          <w:szCs w:val="24"/>
        </w:rPr>
      </w:pPr>
    </w:p>
    <w:tbl>
      <w:tblPr>
        <w:tblW w:w="9387" w:type="dxa"/>
        <w:jc w:val="center"/>
        <w:tblLayout w:type="fixed"/>
        <w:tblLook w:val="00A0" w:firstRow="1" w:lastRow="0" w:firstColumn="1" w:lastColumn="0" w:noHBand="0" w:noVBand="0"/>
      </w:tblPr>
      <w:tblGrid>
        <w:gridCol w:w="3028"/>
        <w:gridCol w:w="1255"/>
        <w:gridCol w:w="1255"/>
        <w:gridCol w:w="1379"/>
        <w:gridCol w:w="1235"/>
        <w:gridCol w:w="1235"/>
      </w:tblGrid>
      <w:tr w:rsidR="00FD35CF" w:rsidRPr="00B15367" w:rsidTr="005D0850">
        <w:trPr>
          <w:cantSplit/>
          <w:trHeight w:val="257"/>
          <w:jc w:val="center"/>
        </w:trPr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5CF" w:rsidRPr="00B375FC" w:rsidRDefault="00FD35CF" w:rsidP="00FD4065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375FC">
              <w:rPr>
                <w:sz w:val="24"/>
                <w:szCs w:val="24"/>
              </w:rPr>
              <w:t>Показатели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5CF" w:rsidRPr="00B375FC" w:rsidRDefault="00FD35CF" w:rsidP="00FD4065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375FC">
              <w:rPr>
                <w:sz w:val="24"/>
                <w:szCs w:val="24"/>
              </w:rPr>
              <w:t>Ед. изм.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CF" w:rsidRPr="00F267AC" w:rsidRDefault="00FD35CF" w:rsidP="00FD4065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267AC">
              <w:rPr>
                <w:sz w:val="24"/>
                <w:szCs w:val="24"/>
              </w:rPr>
              <w:t>Прогноз на 2019 год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CF" w:rsidRPr="00F267AC" w:rsidRDefault="00FD35CF" w:rsidP="00FD4065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267AC">
              <w:rPr>
                <w:sz w:val="24"/>
                <w:szCs w:val="24"/>
              </w:rPr>
              <w:t>2019 год (оценка)</w:t>
            </w:r>
          </w:p>
        </w:tc>
      </w:tr>
      <w:tr w:rsidR="00FD35CF" w:rsidRPr="00B15367" w:rsidTr="005D0850">
        <w:trPr>
          <w:cantSplit/>
          <w:trHeight w:val="284"/>
          <w:jc w:val="center"/>
        </w:trPr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5CF" w:rsidRPr="00B375FC" w:rsidRDefault="00FD35CF" w:rsidP="002E2E87">
            <w:pPr>
              <w:suppressAutoHyphens w:val="0"/>
              <w:jc w:val="center"/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5CF" w:rsidRPr="00B375FC" w:rsidRDefault="00FD35CF" w:rsidP="002E2E87">
            <w:pPr>
              <w:suppressAutoHyphens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5CF" w:rsidRPr="00F267AC" w:rsidRDefault="00FD35CF" w:rsidP="002E2E87">
            <w:pPr>
              <w:pStyle w:val="230"/>
              <w:keepNext/>
              <w:keepLines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F267AC">
              <w:rPr>
                <w:sz w:val="24"/>
                <w:szCs w:val="24"/>
              </w:rPr>
              <w:t>1 вариант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5CF" w:rsidRPr="00F267AC" w:rsidRDefault="00FD35CF" w:rsidP="002E2E87">
            <w:pPr>
              <w:pStyle w:val="230"/>
              <w:keepNext/>
              <w:keepLines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F267AC">
              <w:rPr>
                <w:sz w:val="24"/>
                <w:szCs w:val="24"/>
              </w:rPr>
              <w:t>2 вариант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CF" w:rsidRPr="00F267AC" w:rsidRDefault="00FD35CF" w:rsidP="002E2E87">
            <w:pPr>
              <w:pStyle w:val="230"/>
              <w:keepNext/>
              <w:keepLines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F267AC">
              <w:rPr>
                <w:sz w:val="24"/>
                <w:szCs w:val="24"/>
              </w:rPr>
              <w:t>3 вариант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CF" w:rsidRPr="00B375FC" w:rsidRDefault="00FD35CF" w:rsidP="002E2E87">
            <w:pPr>
              <w:suppressAutoHyphens w:val="0"/>
              <w:jc w:val="center"/>
            </w:pPr>
          </w:p>
        </w:tc>
      </w:tr>
      <w:tr w:rsidR="00FD35CF" w:rsidRPr="00B15367" w:rsidTr="005D0850">
        <w:trPr>
          <w:trHeight w:val="401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5CF" w:rsidRPr="00B375FC" w:rsidRDefault="00FD35CF" w:rsidP="002E2E87">
            <w:pPr>
              <w:pStyle w:val="230"/>
              <w:keepNext/>
              <w:keepLines/>
              <w:spacing w:after="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услуг связи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5CF" w:rsidRPr="00B375FC" w:rsidRDefault="00FD35CF" w:rsidP="00AD0866">
            <w:pPr>
              <w:pStyle w:val="230"/>
              <w:keepNext/>
              <w:keepLines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B375FC">
              <w:rPr>
                <w:sz w:val="24"/>
                <w:szCs w:val="24"/>
              </w:rPr>
              <w:t>млн. руб</w:t>
            </w:r>
            <w:r w:rsidR="00AD0866">
              <w:rPr>
                <w:sz w:val="24"/>
                <w:szCs w:val="24"/>
              </w:rPr>
              <w:t>лей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5CF" w:rsidRPr="00B375FC" w:rsidRDefault="00FD35CF" w:rsidP="002E2E87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2 814,2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35CF" w:rsidRDefault="00FD35CF" w:rsidP="002E2E87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D35CF" w:rsidRDefault="00FD35CF" w:rsidP="002E2E87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2 857,5</w:t>
            </w:r>
          </w:p>
          <w:p w:rsidR="00FD35CF" w:rsidRPr="00B375FC" w:rsidRDefault="00FD35CF" w:rsidP="002E2E87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CF" w:rsidRDefault="00FD35CF" w:rsidP="002E2E87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D35CF" w:rsidRPr="00B375FC" w:rsidRDefault="00FD35CF" w:rsidP="002E2E87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2 871,0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CF" w:rsidRPr="00B375FC" w:rsidRDefault="00FD35CF" w:rsidP="002E2E87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3 256,9</w:t>
            </w:r>
          </w:p>
        </w:tc>
      </w:tr>
    </w:tbl>
    <w:p w:rsidR="000149E7" w:rsidRDefault="000149E7" w:rsidP="00FD35CF">
      <w:pPr>
        <w:pStyle w:val="aff0"/>
        <w:spacing w:line="276" w:lineRule="auto"/>
        <w:rPr>
          <w:sz w:val="24"/>
          <w:szCs w:val="24"/>
        </w:rPr>
      </w:pPr>
    </w:p>
    <w:p w:rsidR="00FD35CF" w:rsidRDefault="00FD35CF" w:rsidP="00FD35CF">
      <w:pPr>
        <w:pStyle w:val="aff0"/>
        <w:spacing w:line="276" w:lineRule="auto"/>
        <w:rPr>
          <w:sz w:val="24"/>
          <w:szCs w:val="24"/>
        </w:rPr>
      </w:pPr>
      <w:r w:rsidRPr="00090080">
        <w:rPr>
          <w:sz w:val="24"/>
          <w:szCs w:val="24"/>
        </w:rPr>
        <w:t>В итоге, с учетом сложившегося значения показателя за 1 полугодие 201</w:t>
      </w:r>
      <w:r>
        <w:rPr>
          <w:sz w:val="24"/>
          <w:szCs w:val="24"/>
        </w:rPr>
        <w:t>9</w:t>
      </w:r>
      <w:r w:rsidRPr="00090080">
        <w:rPr>
          <w:sz w:val="24"/>
          <w:szCs w:val="24"/>
        </w:rPr>
        <w:t xml:space="preserve"> года, исходя из оценки текущей ситуации на рынке услуг связи, </w:t>
      </w:r>
      <w:r w:rsidR="00FD4065">
        <w:rPr>
          <w:sz w:val="24"/>
          <w:szCs w:val="24"/>
        </w:rPr>
        <w:t xml:space="preserve">оценочное </w:t>
      </w:r>
      <w:r w:rsidRPr="00090080">
        <w:rPr>
          <w:sz w:val="24"/>
          <w:szCs w:val="24"/>
        </w:rPr>
        <w:t>значение объема услуг, оказанных предприятиями связи по городскому округу Тольятти в 201</w:t>
      </w:r>
      <w:r>
        <w:rPr>
          <w:sz w:val="24"/>
          <w:szCs w:val="24"/>
        </w:rPr>
        <w:t>9</w:t>
      </w:r>
      <w:r w:rsidRPr="00090080">
        <w:rPr>
          <w:sz w:val="24"/>
          <w:szCs w:val="24"/>
        </w:rPr>
        <w:t xml:space="preserve"> году</w:t>
      </w:r>
      <w:r w:rsidR="00FD4065">
        <w:rPr>
          <w:sz w:val="24"/>
          <w:szCs w:val="24"/>
        </w:rPr>
        <w:t>,</w:t>
      </w:r>
      <w:r w:rsidRPr="00090080">
        <w:rPr>
          <w:sz w:val="24"/>
          <w:szCs w:val="24"/>
        </w:rPr>
        <w:t xml:space="preserve"> </w:t>
      </w:r>
      <w:r w:rsidR="00FD4065">
        <w:rPr>
          <w:sz w:val="24"/>
          <w:szCs w:val="24"/>
        </w:rPr>
        <w:t xml:space="preserve">скорректировано в сторону увеличения до </w:t>
      </w:r>
      <w:r>
        <w:rPr>
          <w:sz w:val="24"/>
          <w:szCs w:val="24"/>
        </w:rPr>
        <w:t>3 256</w:t>
      </w:r>
      <w:r w:rsidRPr="00090080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090080">
        <w:rPr>
          <w:sz w:val="24"/>
          <w:szCs w:val="24"/>
        </w:rPr>
        <w:t xml:space="preserve"> млн. руб</w:t>
      </w:r>
      <w:r w:rsidR="00AD0866">
        <w:rPr>
          <w:sz w:val="24"/>
          <w:szCs w:val="24"/>
        </w:rPr>
        <w:t>лей</w:t>
      </w:r>
      <w:r w:rsidRPr="00090080">
        <w:rPr>
          <w:sz w:val="24"/>
          <w:szCs w:val="24"/>
        </w:rPr>
        <w:t>.</w:t>
      </w:r>
      <w:r w:rsidR="00FD4065">
        <w:rPr>
          <w:sz w:val="24"/>
          <w:szCs w:val="24"/>
        </w:rPr>
        <w:t xml:space="preserve"> </w:t>
      </w:r>
      <w:r w:rsidRPr="00090080">
        <w:rPr>
          <w:sz w:val="24"/>
          <w:szCs w:val="24"/>
        </w:rPr>
        <w:t xml:space="preserve">  </w:t>
      </w:r>
    </w:p>
    <w:p w:rsidR="00FD35CF" w:rsidRPr="00090080" w:rsidRDefault="00FD35CF" w:rsidP="00FD35CF">
      <w:pPr>
        <w:pStyle w:val="aff0"/>
        <w:spacing w:line="276" w:lineRule="auto"/>
        <w:rPr>
          <w:sz w:val="24"/>
          <w:szCs w:val="24"/>
        </w:rPr>
      </w:pPr>
      <w:r w:rsidRPr="00090080">
        <w:rPr>
          <w:sz w:val="24"/>
          <w:szCs w:val="24"/>
        </w:rPr>
        <w:t>Приоритетными направлениями деятельности операторов сотовой связи в 201</w:t>
      </w:r>
      <w:r>
        <w:rPr>
          <w:sz w:val="24"/>
          <w:szCs w:val="24"/>
        </w:rPr>
        <w:t>9</w:t>
      </w:r>
      <w:r w:rsidRPr="00090080">
        <w:rPr>
          <w:sz w:val="24"/>
          <w:szCs w:val="24"/>
        </w:rPr>
        <w:t xml:space="preserve"> году останутся: расширение зоны покрытия с целью улучшения качества сотовой связи, разработка новых тарифных предложений, ориентированных на различные целевые группы населения, поддержание конкурентных цен на услуги связи; активизация работы по привлечению корпоративных клиентов, расширение сети офисов продаж, экспресс обслуживания, организация услуг самообслуживания и др.</w:t>
      </w:r>
    </w:p>
    <w:p w:rsidR="009B6BAA" w:rsidRPr="005319C7" w:rsidRDefault="009B6BAA" w:rsidP="00443EE9">
      <w:pPr>
        <w:pStyle w:val="112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86591" w:rsidRPr="00164956" w:rsidRDefault="00186591" w:rsidP="00186591">
      <w:pPr>
        <w:pStyle w:val="112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956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186591" w:rsidRPr="004C359F" w:rsidRDefault="00186591" w:rsidP="00186591">
      <w:pPr>
        <w:pStyle w:val="112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591" w:rsidRPr="004C359F" w:rsidRDefault="00186591" w:rsidP="00B8594E">
      <w:pPr>
        <w:spacing w:line="276" w:lineRule="auto"/>
        <w:ind w:firstLine="709"/>
        <w:jc w:val="both"/>
        <w:rPr>
          <w:sz w:val="24"/>
          <w:szCs w:val="24"/>
        </w:rPr>
      </w:pPr>
      <w:r w:rsidRPr="004C359F">
        <w:rPr>
          <w:sz w:val="24"/>
          <w:szCs w:val="24"/>
        </w:rPr>
        <w:t xml:space="preserve">В городском округе Тольятти услуги дошкольного образования предоставляют 74 образовательные организации разных форм собственности, реализующие образовательные программы дошкольного образования: 52  муниципальных дошкольных образовательных учреждения (далее </w:t>
      </w:r>
      <w:r w:rsidR="00FF7CE3">
        <w:rPr>
          <w:sz w:val="24"/>
          <w:szCs w:val="24"/>
        </w:rPr>
        <w:t xml:space="preserve">по разделу </w:t>
      </w:r>
      <w:r w:rsidRPr="004C359F">
        <w:rPr>
          <w:sz w:val="24"/>
          <w:szCs w:val="24"/>
        </w:rPr>
        <w:t>- МОУ), 12 детских садов структурных подразделений муниципальных общеобразовательных учреждений.</w:t>
      </w:r>
    </w:p>
    <w:p w:rsidR="00186591" w:rsidRPr="004C359F" w:rsidRDefault="00186591" w:rsidP="00B8594E">
      <w:pPr>
        <w:spacing w:line="276" w:lineRule="auto"/>
        <w:ind w:firstLine="709"/>
        <w:jc w:val="both"/>
        <w:rPr>
          <w:sz w:val="24"/>
          <w:szCs w:val="24"/>
        </w:rPr>
      </w:pPr>
      <w:r w:rsidRPr="004C359F">
        <w:rPr>
          <w:sz w:val="24"/>
          <w:szCs w:val="24"/>
        </w:rPr>
        <w:t>Кроме того, функционируют 9 образовательных организаций и учреждений, реализующих образовательные программы дошкольного образования, и  1 ведомственный детский сад:</w:t>
      </w:r>
    </w:p>
    <w:p w:rsidR="00186591" w:rsidRPr="001E521E" w:rsidRDefault="001E521E" w:rsidP="00B8594E">
      <w:pPr>
        <w:tabs>
          <w:tab w:val="left" w:pos="0"/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6591" w:rsidRPr="001E521E">
        <w:rPr>
          <w:sz w:val="24"/>
          <w:szCs w:val="24"/>
        </w:rPr>
        <w:t xml:space="preserve">1 автономная некоммерческая организация дошкольного образования «Планета детства «Лада», в составе которой работают 50 структурных подразделений - детских садов; </w:t>
      </w:r>
    </w:p>
    <w:p w:rsidR="00186591" w:rsidRPr="004C359F" w:rsidRDefault="001E521E" w:rsidP="00B8594E">
      <w:p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6591" w:rsidRPr="004C359F">
        <w:rPr>
          <w:sz w:val="24"/>
          <w:szCs w:val="24"/>
        </w:rPr>
        <w:t>3 автономные некоммерческие образовательные организации «Ступени», «Поволжский православный институт», «Солнечный круг»;</w:t>
      </w:r>
    </w:p>
    <w:p w:rsidR="00186591" w:rsidRPr="004C359F" w:rsidRDefault="001E521E" w:rsidP="00B8594E">
      <w:p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6591" w:rsidRPr="004C359F">
        <w:rPr>
          <w:sz w:val="24"/>
          <w:szCs w:val="24"/>
        </w:rPr>
        <w:t xml:space="preserve"> 4  частные образовательные учреждения, имеющие в своей структуре группы для детей дошкольного возраста;</w:t>
      </w:r>
    </w:p>
    <w:p w:rsidR="00186591" w:rsidRPr="001E521E" w:rsidRDefault="001E521E" w:rsidP="00B8594E">
      <w:p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6591" w:rsidRPr="001E521E">
        <w:rPr>
          <w:sz w:val="24"/>
          <w:szCs w:val="24"/>
        </w:rPr>
        <w:t>1 структурное подразделение государственного образовательного учреждения - Центр дошкольного образования;</w:t>
      </w:r>
    </w:p>
    <w:p w:rsidR="00186591" w:rsidRPr="004C359F" w:rsidRDefault="001E521E" w:rsidP="00B8594E">
      <w:p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6591" w:rsidRPr="004C359F">
        <w:rPr>
          <w:sz w:val="24"/>
          <w:szCs w:val="24"/>
        </w:rPr>
        <w:t>1  ведомственный детский сад  № 205 «Тюльпан».</w:t>
      </w:r>
    </w:p>
    <w:p w:rsidR="00186591" w:rsidRPr="004C359F" w:rsidRDefault="00186591" w:rsidP="00B8594E">
      <w:pPr>
        <w:spacing w:line="276" w:lineRule="auto"/>
        <w:ind w:firstLine="709"/>
        <w:jc w:val="both"/>
        <w:rPr>
          <w:sz w:val="24"/>
          <w:szCs w:val="24"/>
        </w:rPr>
      </w:pPr>
      <w:r w:rsidRPr="004C359F">
        <w:rPr>
          <w:sz w:val="24"/>
          <w:szCs w:val="24"/>
        </w:rPr>
        <w:t>Услугами дошкольного образования охвачено 40</w:t>
      </w:r>
      <w:r w:rsidR="001E521E">
        <w:rPr>
          <w:sz w:val="24"/>
          <w:szCs w:val="24"/>
        </w:rPr>
        <w:t xml:space="preserve"> </w:t>
      </w:r>
      <w:r w:rsidRPr="004C359F">
        <w:rPr>
          <w:sz w:val="24"/>
          <w:szCs w:val="24"/>
        </w:rPr>
        <w:t>562</w:t>
      </w:r>
      <w:r>
        <w:rPr>
          <w:sz w:val="24"/>
          <w:szCs w:val="24"/>
        </w:rPr>
        <w:t xml:space="preserve"> детей </w:t>
      </w:r>
      <w:r w:rsidRPr="004C359F">
        <w:rPr>
          <w:sz w:val="24"/>
          <w:szCs w:val="24"/>
        </w:rPr>
        <w:t xml:space="preserve"> в возрасте  от 9 месяцев до 7 лет, что на 25 детей больше по сравнению с тем же периодом 2018 года по причине дополнительного набора детей из очереди в возрасте от 3-х до 7-ми лет. Из общего количества организованных детей дошкольного возраста: </w:t>
      </w:r>
    </w:p>
    <w:p w:rsidR="00186591" w:rsidRPr="004C359F" w:rsidRDefault="00186591" w:rsidP="00B8594E">
      <w:pPr>
        <w:tabs>
          <w:tab w:val="left" w:pos="567"/>
        </w:tabs>
        <w:spacing w:line="276" w:lineRule="auto"/>
        <w:ind w:firstLine="709"/>
        <w:jc w:val="both"/>
        <w:rPr>
          <w:sz w:val="24"/>
          <w:szCs w:val="24"/>
        </w:rPr>
      </w:pPr>
      <w:r w:rsidRPr="004C359F">
        <w:rPr>
          <w:sz w:val="24"/>
          <w:szCs w:val="24"/>
        </w:rPr>
        <w:t xml:space="preserve">- 25037 детей (61,7%) посещают муниципальные образовательные учреждения, реализующие образовательные программы дошкольного образования, в </w:t>
      </w:r>
      <w:r w:rsidR="001E521E">
        <w:rPr>
          <w:sz w:val="24"/>
          <w:szCs w:val="24"/>
        </w:rPr>
        <w:t>том числе</w:t>
      </w:r>
      <w:r w:rsidRPr="004C359F">
        <w:rPr>
          <w:sz w:val="24"/>
          <w:szCs w:val="24"/>
        </w:rPr>
        <w:t xml:space="preserve"> 29 детей - группы кратковременного пребывания;</w:t>
      </w:r>
    </w:p>
    <w:p w:rsidR="00186591" w:rsidRPr="004C359F" w:rsidRDefault="00186591" w:rsidP="00B8594E">
      <w:pPr>
        <w:tabs>
          <w:tab w:val="left" w:pos="567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4C359F">
        <w:rPr>
          <w:sz w:val="24"/>
          <w:szCs w:val="24"/>
        </w:rPr>
        <w:t xml:space="preserve">- 14881 ребенок (36,7%) посещает детские сады АНО ДО «Планета детства «Лада»; </w:t>
      </w:r>
    </w:p>
    <w:p w:rsidR="00186591" w:rsidRPr="004C359F" w:rsidRDefault="001E521E" w:rsidP="00B8594E">
      <w:pPr>
        <w:tabs>
          <w:tab w:val="left" w:pos="42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6591" w:rsidRPr="004C359F">
        <w:rPr>
          <w:sz w:val="24"/>
          <w:szCs w:val="24"/>
        </w:rPr>
        <w:t xml:space="preserve">564 ребенка (1,4%) получают образовательные услуги, посещая частные образовательные учреждения, ведомственный детский сад.  </w:t>
      </w:r>
    </w:p>
    <w:p w:rsidR="00186591" w:rsidRPr="004C359F" w:rsidRDefault="00186591" w:rsidP="00B8594E">
      <w:pPr>
        <w:tabs>
          <w:tab w:val="left" w:pos="567"/>
        </w:tabs>
        <w:spacing w:line="276" w:lineRule="auto"/>
        <w:ind w:firstLine="709"/>
        <w:jc w:val="both"/>
        <w:rPr>
          <w:sz w:val="24"/>
          <w:szCs w:val="24"/>
        </w:rPr>
      </w:pPr>
      <w:r w:rsidRPr="004C359F">
        <w:rPr>
          <w:sz w:val="24"/>
          <w:szCs w:val="24"/>
        </w:rPr>
        <w:t>-80 детей (0,2%) получают образовательные услуги в государственном образовательном учреждении (ГАОУ СПО ТКСТП).</w:t>
      </w:r>
    </w:p>
    <w:p w:rsidR="00186591" w:rsidRDefault="00186591" w:rsidP="00B8594E">
      <w:pPr>
        <w:pStyle w:val="af9"/>
        <w:spacing w:after="0" w:line="276" w:lineRule="auto"/>
        <w:ind w:firstLine="709"/>
        <w:jc w:val="both"/>
      </w:pPr>
      <w:r w:rsidRPr="004C359F">
        <w:t>По оценке 2019 года численность детей 1-6 лет составит 52</w:t>
      </w:r>
      <w:r w:rsidR="001E521E">
        <w:t xml:space="preserve"> </w:t>
      </w:r>
      <w:r w:rsidRPr="004C359F">
        <w:t>037 человек</w:t>
      </w:r>
      <w:r w:rsidR="001E521E">
        <w:t xml:space="preserve">, что на </w:t>
      </w:r>
      <w:r w:rsidRPr="004C359F">
        <w:t xml:space="preserve"> </w:t>
      </w:r>
      <w:r w:rsidR="001E521E">
        <w:t xml:space="preserve">966 человек меньше прошлого года </w:t>
      </w:r>
      <w:r w:rsidRPr="004C359F">
        <w:t>(расчет произведен по данным статистики о количестве детей в разбивке по возрастным группам)</w:t>
      </w:r>
      <w:r w:rsidR="001E521E">
        <w:t>.</w:t>
      </w:r>
      <w:r w:rsidRPr="004C359F">
        <w:t xml:space="preserve"> </w:t>
      </w:r>
      <w:r w:rsidR="001E521E">
        <w:t>П</w:t>
      </w:r>
      <w:r w:rsidRPr="004C359F">
        <w:t xml:space="preserve">ри этом общая численность детей 3-6 лет увеличится в 2019 году на 1014 человек и составит </w:t>
      </w:r>
      <w:r w:rsidR="008855D6" w:rsidRPr="008855D6">
        <w:t>35737</w:t>
      </w:r>
      <w:r w:rsidRPr="008855D6">
        <w:t xml:space="preserve"> человек.</w:t>
      </w:r>
    </w:p>
    <w:p w:rsidR="001E521E" w:rsidRPr="004C359F" w:rsidRDefault="001E521E" w:rsidP="00B8594E">
      <w:pPr>
        <w:pStyle w:val="af9"/>
        <w:spacing w:after="0" w:line="276" w:lineRule="auto"/>
        <w:ind w:firstLine="709"/>
        <w:jc w:val="both"/>
      </w:pPr>
      <w:r>
        <w:t>Ч</w:t>
      </w:r>
      <w:r w:rsidRPr="001E521E">
        <w:t>исленность детей в дошкольных образовательных учреждениях увеличится к прошлому году на 588 человек и составит 41</w:t>
      </w:r>
      <w:r>
        <w:t xml:space="preserve"> 150</w:t>
      </w:r>
      <w:r w:rsidRPr="001E521E">
        <w:t xml:space="preserve">  человек.</w:t>
      </w:r>
    </w:p>
    <w:p w:rsidR="00186591" w:rsidRPr="004C359F" w:rsidRDefault="00186591" w:rsidP="00B8594E">
      <w:pPr>
        <w:pStyle w:val="af9"/>
        <w:spacing w:after="0" w:line="276" w:lineRule="auto"/>
        <w:ind w:firstLine="709"/>
        <w:jc w:val="both"/>
      </w:pPr>
      <w:r w:rsidRPr="004C359F">
        <w:t>В связи с высокой рождаемостью, наблюдаемой в городе после 2000-х годов (пик рождаемости за последние 20 лет пришелся на 2012-2015 годы), темпы роста общего количества детей в возрасте 3-6 лет в городском округе Тольятти значительно опережают темпы увеличения количества мест в муниципальных дошкольных образовательных учреждениях (ДОУ).</w:t>
      </w:r>
    </w:p>
    <w:p w:rsidR="00186591" w:rsidRPr="004C359F" w:rsidRDefault="00186591" w:rsidP="00B8594E">
      <w:pPr>
        <w:pStyle w:val="af9"/>
        <w:spacing w:after="0" w:line="276" w:lineRule="auto"/>
        <w:ind w:firstLine="709"/>
        <w:jc w:val="both"/>
      </w:pPr>
      <w:r w:rsidRPr="004C359F">
        <w:t>В 2019 году количество мест для детей 3-6 лет в дошкольных учреждениях увеличится на 43 единицы к 2018 году и составит 32 393 единиц в результате создания дополнительных мест в действующих детских садах.</w:t>
      </w:r>
    </w:p>
    <w:p w:rsidR="00186591" w:rsidRPr="004C359F" w:rsidRDefault="00186591" w:rsidP="00B8594E">
      <w:pPr>
        <w:pStyle w:val="af9"/>
        <w:spacing w:after="0" w:line="276" w:lineRule="auto"/>
        <w:ind w:firstLine="709"/>
        <w:jc w:val="both"/>
      </w:pPr>
      <w:r w:rsidRPr="004C359F">
        <w:lastRenderedPageBreak/>
        <w:t>Таким образом, показатель «Обеспеченность дошкольными образовательными учреждениями» по итогам 2019 года снизится и составит 906 мест на 1000 детей в возрасте 3-6 лет (в 2018 году – 931).</w:t>
      </w:r>
    </w:p>
    <w:p w:rsidR="00186591" w:rsidRPr="004C359F" w:rsidRDefault="00186591" w:rsidP="00B8594E">
      <w:pPr>
        <w:pStyle w:val="ConsPlusTitle"/>
        <w:tabs>
          <w:tab w:val="left" w:pos="317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359F">
        <w:rPr>
          <w:rFonts w:ascii="Times New Roman" w:hAnsi="Times New Roman" w:cs="Times New Roman"/>
          <w:b w:val="0"/>
          <w:sz w:val="24"/>
          <w:szCs w:val="24"/>
        </w:rPr>
        <w:t xml:space="preserve">Для детей в возрасте 3 года и старше создано достаточное количество мест в детских садах для 100% охвата, но без гарантии предоставления места в конкретном детском саду. </w:t>
      </w:r>
    </w:p>
    <w:p w:rsidR="001E521E" w:rsidRDefault="00186591" w:rsidP="00B8594E">
      <w:pPr>
        <w:pStyle w:val="ConsPlusTitle"/>
        <w:tabs>
          <w:tab w:val="left" w:pos="317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359F">
        <w:rPr>
          <w:rFonts w:ascii="Times New Roman" w:hAnsi="Times New Roman" w:cs="Times New Roman"/>
          <w:b w:val="0"/>
          <w:sz w:val="24"/>
          <w:szCs w:val="24"/>
        </w:rPr>
        <w:t xml:space="preserve">Остается актуальной проблема нехватки мест для детей на территориях новостроек и в приближенных к ним кварталах. </w:t>
      </w:r>
    </w:p>
    <w:p w:rsidR="00186591" w:rsidRPr="004C359F" w:rsidRDefault="00186591" w:rsidP="00B8594E">
      <w:pPr>
        <w:pStyle w:val="ConsPlusTitle"/>
        <w:tabs>
          <w:tab w:val="left" w:pos="317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359F">
        <w:rPr>
          <w:rFonts w:ascii="Times New Roman" w:hAnsi="Times New Roman" w:cs="Times New Roman"/>
          <w:b w:val="0"/>
          <w:sz w:val="24"/>
          <w:szCs w:val="24"/>
        </w:rPr>
        <w:t>Численность детей 7-17 лет в 2019 году увеличится на 1915 человек и составит        80 352 человек. Доля обучающихся в первую смену школьников, по оценке, в 2019 году составит 96,8% (на уровне 2018 года).</w:t>
      </w:r>
    </w:p>
    <w:p w:rsidR="00186591" w:rsidRDefault="00186591" w:rsidP="00B8594E">
      <w:pPr>
        <w:pStyle w:val="af9"/>
        <w:spacing w:after="0" w:line="276" w:lineRule="auto"/>
        <w:jc w:val="both"/>
        <w:rPr>
          <w:rFonts w:eastAsia="Calibri"/>
        </w:rPr>
      </w:pPr>
      <w:r w:rsidRPr="004C359F">
        <w:t xml:space="preserve">           Показатель охвата дополнительным образованием детей к концу 2019 года снизится  относительно 2018 года на 2,1 процентных пункта и составит 78,4% в связи с тем, что количество детей в возрасте 5-18 лет в городском округе Тольятти (знаменатель) будет расти более высокими темпами, чем количество </w:t>
      </w:r>
      <w:r w:rsidR="001E521E">
        <w:t>мест в учреждениях</w:t>
      </w:r>
      <w:r w:rsidRPr="004C359F">
        <w:t xml:space="preserve"> дополнительн</w:t>
      </w:r>
      <w:r w:rsidR="001E521E">
        <w:t>ого</w:t>
      </w:r>
      <w:r w:rsidRPr="004C359F">
        <w:t xml:space="preserve"> образовани</w:t>
      </w:r>
      <w:r w:rsidR="001E521E">
        <w:t>я</w:t>
      </w:r>
      <w:r w:rsidRPr="004C359F">
        <w:t>.</w:t>
      </w:r>
      <w:r>
        <w:t xml:space="preserve"> </w:t>
      </w:r>
    </w:p>
    <w:p w:rsidR="00853F65" w:rsidRDefault="00853F65" w:rsidP="00B8594E">
      <w:pPr>
        <w:spacing w:line="276" w:lineRule="auto"/>
        <w:ind w:firstLine="709"/>
        <w:jc w:val="both"/>
        <w:rPr>
          <w:sz w:val="24"/>
          <w:szCs w:val="24"/>
        </w:rPr>
      </w:pPr>
      <w:r w:rsidRPr="00853F65">
        <w:rPr>
          <w:sz w:val="24"/>
          <w:szCs w:val="24"/>
        </w:rPr>
        <w:t xml:space="preserve">К основным проблемам, сдерживающим развитие отрасли образования, относятся: </w:t>
      </w:r>
    </w:p>
    <w:p w:rsidR="00853F65" w:rsidRPr="00853F65" w:rsidRDefault="00853F65" w:rsidP="00B8594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сфере дошкольного образования: н</w:t>
      </w:r>
      <w:r w:rsidRPr="00853F65">
        <w:rPr>
          <w:sz w:val="24"/>
          <w:szCs w:val="24"/>
        </w:rPr>
        <w:t>ехватка мест в детских садах для детей раннего возраста (от 1,5 до 3 лет)</w:t>
      </w:r>
      <w:r>
        <w:rPr>
          <w:sz w:val="24"/>
          <w:szCs w:val="24"/>
        </w:rPr>
        <w:t>, о</w:t>
      </w:r>
      <w:r w:rsidRPr="00853F65">
        <w:rPr>
          <w:sz w:val="24"/>
          <w:szCs w:val="24"/>
        </w:rPr>
        <w:t>тсутствие детских садов в кварталах-новостройках Автозаводского района (14А, 17А, 20, 21), в микрорайоне «Северный» Центрального района, микрорайоне «Жигулевское море» Комсомольского района</w:t>
      </w:r>
      <w:r>
        <w:rPr>
          <w:sz w:val="24"/>
          <w:szCs w:val="24"/>
        </w:rPr>
        <w:t>, н</w:t>
      </w:r>
      <w:r w:rsidRPr="00853F65">
        <w:rPr>
          <w:sz w:val="24"/>
          <w:szCs w:val="24"/>
        </w:rPr>
        <w:t>еобеспеченность детских садов необходимым оборудованием для создания доступной среды (пандусы, лифты и т.д.) для детей с ограниченными возможностями здоровья</w:t>
      </w:r>
      <w:r>
        <w:rPr>
          <w:sz w:val="24"/>
          <w:szCs w:val="24"/>
        </w:rPr>
        <w:t>, н</w:t>
      </w:r>
      <w:r w:rsidRPr="00853F65">
        <w:rPr>
          <w:sz w:val="24"/>
          <w:szCs w:val="24"/>
        </w:rPr>
        <w:t>едостаточное  материально-техническое обеспечение дошкольных учреждений в соот</w:t>
      </w:r>
      <w:r w:rsidR="00B66A8C">
        <w:rPr>
          <w:sz w:val="24"/>
          <w:szCs w:val="24"/>
        </w:rPr>
        <w:t>ветствии с требованиями ФГОС ДО;</w:t>
      </w:r>
    </w:p>
    <w:p w:rsidR="00853F65" w:rsidRPr="00853F65" w:rsidRDefault="00853F65" w:rsidP="00B8594E">
      <w:pPr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853F65">
        <w:rPr>
          <w:sz w:val="24"/>
          <w:szCs w:val="24"/>
        </w:rPr>
        <w:t>- в сфере общего и дополнительного образования: осуществление образовательного процесса в общеобразовательных учреждениях в две смены; устаревшая материально-техническая база.</w:t>
      </w:r>
    </w:p>
    <w:p w:rsidR="00853F65" w:rsidRPr="00853F65" w:rsidRDefault="00853F65" w:rsidP="00B8594E">
      <w:pPr>
        <w:spacing w:line="276" w:lineRule="auto"/>
        <w:ind w:firstLine="709"/>
        <w:jc w:val="both"/>
        <w:rPr>
          <w:sz w:val="24"/>
          <w:szCs w:val="24"/>
        </w:rPr>
      </w:pPr>
      <w:r w:rsidRPr="00853F65">
        <w:rPr>
          <w:sz w:val="24"/>
          <w:szCs w:val="24"/>
        </w:rPr>
        <w:t>Ключевыми проблемами, ограничивающими доступность получения качественных услуг системы образования, являются:</w:t>
      </w:r>
      <w:r>
        <w:rPr>
          <w:sz w:val="24"/>
          <w:szCs w:val="24"/>
        </w:rPr>
        <w:t xml:space="preserve"> </w:t>
      </w:r>
      <w:r w:rsidRPr="00853F65">
        <w:rPr>
          <w:sz w:val="24"/>
          <w:szCs w:val="24"/>
        </w:rPr>
        <w:t>недостаточное развитие дополнительных образовательных услуг;</w:t>
      </w:r>
      <w:r>
        <w:rPr>
          <w:sz w:val="24"/>
          <w:szCs w:val="24"/>
        </w:rPr>
        <w:t xml:space="preserve"> </w:t>
      </w:r>
      <w:r w:rsidRPr="00853F65">
        <w:rPr>
          <w:sz w:val="24"/>
          <w:szCs w:val="24"/>
        </w:rPr>
        <w:t>территориальная (шаговая) доступность учреждений общего  образования;</w:t>
      </w:r>
      <w:r>
        <w:rPr>
          <w:sz w:val="24"/>
          <w:szCs w:val="24"/>
        </w:rPr>
        <w:t xml:space="preserve"> </w:t>
      </w:r>
      <w:r w:rsidRPr="00853F65">
        <w:rPr>
          <w:sz w:val="24"/>
          <w:szCs w:val="24"/>
        </w:rPr>
        <w:t>старение материально-технической базы учреждений отрасли «Образование»;</w:t>
      </w:r>
      <w:r>
        <w:rPr>
          <w:sz w:val="24"/>
          <w:szCs w:val="24"/>
        </w:rPr>
        <w:t xml:space="preserve"> </w:t>
      </w:r>
      <w:r w:rsidRPr="00853F65">
        <w:rPr>
          <w:sz w:val="24"/>
          <w:szCs w:val="24"/>
        </w:rPr>
        <w:t>недостаточная материально-техническая оснащенность дошкольных образовательных учреждений.</w:t>
      </w:r>
    </w:p>
    <w:p w:rsidR="00853F65" w:rsidRPr="00853F65" w:rsidRDefault="00853F65" w:rsidP="00B8594E">
      <w:pPr>
        <w:spacing w:line="276" w:lineRule="auto"/>
        <w:ind w:firstLine="709"/>
        <w:jc w:val="both"/>
        <w:rPr>
          <w:bCs/>
          <w:snapToGrid w:val="0"/>
          <w:color w:val="000000"/>
          <w:sz w:val="24"/>
          <w:szCs w:val="24"/>
          <w:shd w:val="clear" w:color="auto" w:fill="FFFFFF"/>
        </w:rPr>
      </w:pPr>
      <w:r w:rsidRPr="00853F65">
        <w:rPr>
          <w:bCs/>
          <w:snapToGrid w:val="0"/>
          <w:color w:val="000000"/>
          <w:sz w:val="24"/>
          <w:szCs w:val="24"/>
          <w:shd w:val="clear" w:color="auto" w:fill="FFFFFF"/>
        </w:rPr>
        <w:t>Согласно Генплану, утвержденному решением Думы городского округа Тольятти от 25.05.2018 № 1756,  до 2038 года в городском округе Тольятти существует потребность:</w:t>
      </w:r>
    </w:p>
    <w:p w:rsidR="00853F65" w:rsidRPr="00853F65" w:rsidRDefault="00853F65" w:rsidP="007A7291">
      <w:pPr>
        <w:spacing w:line="276" w:lineRule="auto"/>
        <w:ind w:firstLine="426"/>
        <w:jc w:val="both"/>
        <w:rPr>
          <w:bCs/>
          <w:snapToGrid w:val="0"/>
          <w:color w:val="000000"/>
          <w:sz w:val="24"/>
          <w:szCs w:val="24"/>
          <w:shd w:val="clear" w:color="auto" w:fill="FFFFFF"/>
        </w:rPr>
      </w:pPr>
      <w:r w:rsidRPr="00853F65">
        <w:rPr>
          <w:bCs/>
          <w:snapToGrid w:val="0"/>
          <w:color w:val="000000"/>
          <w:sz w:val="24"/>
          <w:szCs w:val="24"/>
          <w:shd w:val="clear" w:color="auto" w:fill="FFFFFF"/>
        </w:rPr>
        <w:t>•</w:t>
      </w:r>
      <w:r w:rsidRPr="00853F65">
        <w:rPr>
          <w:bCs/>
          <w:snapToGrid w:val="0"/>
          <w:color w:val="000000"/>
          <w:sz w:val="24"/>
          <w:szCs w:val="24"/>
          <w:shd w:val="clear" w:color="auto" w:fill="FFFFFF"/>
        </w:rPr>
        <w:tab/>
        <w:t xml:space="preserve">в строительстве зданий детских садов - 95 объектов, школ - 37 объектов; </w:t>
      </w:r>
    </w:p>
    <w:p w:rsidR="00853F65" w:rsidRPr="00853F65" w:rsidRDefault="00853F65" w:rsidP="007A7291">
      <w:pPr>
        <w:spacing w:line="276" w:lineRule="auto"/>
        <w:ind w:firstLine="426"/>
        <w:jc w:val="both"/>
        <w:rPr>
          <w:bCs/>
          <w:snapToGrid w:val="0"/>
          <w:color w:val="000000"/>
          <w:sz w:val="24"/>
          <w:szCs w:val="24"/>
          <w:shd w:val="clear" w:color="auto" w:fill="FFFFFF"/>
        </w:rPr>
      </w:pPr>
      <w:r w:rsidRPr="00853F65">
        <w:rPr>
          <w:bCs/>
          <w:snapToGrid w:val="0"/>
          <w:color w:val="000000"/>
          <w:sz w:val="24"/>
          <w:szCs w:val="24"/>
          <w:shd w:val="clear" w:color="auto" w:fill="FFFFFF"/>
        </w:rPr>
        <w:t>•</w:t>
      </w:r>
      <w:r w:rsidRPr="00853F65">
        <w:rPr>
          <w:bCs/>
          <w:snapToGrid w:val="0"/>
          <w:color w:val="000000"/>
          <w:sz w:val="24"/>
          <w:szCs w:val="24"/>
          <w:shd w:val="clear" w:color="auto" w:fill="FFFFFF"/>
        </w:rPr>
        <w:tab/>
        <w:t>в строительстве зданий учреждений дополнительного образования - 4 объекта;</w:t>
      </w:r>
    </w:p>
    <w:p w:rsidR="00853F65" w:rsidRPr="00853F65" w:rsidRDefault="00853F65" w:rsidP="007A7291">
      <w:pPr>
        <w:spacing w:line="276" w:lineRule="auto"/>
        <w:ind w:firstLine="426"/>
        <w:jc w:val="both"/>
        <w:rPr>
          <w:bCs/>
          <w:snapToGrid w:val="0"/>
          <w:color w:val="000000"/>
          <w:sz w:val="24"/>
          <w:szCs w:val="24"/>
          <w:shd w:val="clear" w:color="auto" w:fill="FFFFFF"/>
        </w:rPr>
      </w:pPr>
      <w:r w:rsidRPr="00853F65">
        <w:rPr>
          <w:bCs/>
          <w:snapToGrid w:val="0"/>
          <w:color w:val="000000"/>
          <w:sz w:val="24"/>
          <w:szCs w:val="24"/>
          <w:shd w:val="clear" w:color="auto" w:fill="FFFFFF"/>
        </w:rPr>
        <w:t>•</w:t>
      </w:r>
      <w:r w:rsidRPr="00853F65">
        <w:rPr>
          <w:bCs/>
          <w:snapToGrid w:val="0"/>
          <w:color w:val="000000"/>
          <w:sz w:val="24"/>
          <w:szCs w:val="24"/>
          <w:shd w:val="clear" w:color="auto" w:fill="FFFFFF"/>
        </w:rPr>
        <w:tab/>
        <w:t>в реконструкции зданий школ - 6 объектов</w:t>
      </w:r>
      <w:r w:rsidR="007A7291">
        <w:rPr>
          <w:bCs/>
          <w:snapToGrid w:val="0"/>
          <w:color w:val="000000"/>
          <w:sz w:val="24"/>
          <w:szCs w:val="24"/>
          <w:shd w:val="clear" w:color="auto" w:fill="FFFFFF"/>
        </w:rPr>
        <w:t>;</w:t>
      </w:r>
      <w:r w:rsidRPr="00853F65">
        <w:rPr>
          <w:bCs/>
          <w:snapToGrid w:val="0"/>
          <w:color w:val="000000"/>
          <w:sz w:val="24"/>
          <w:szCs w:val="24"/>
          <w:shd w:val="clear" w:color="auto" w:fill="FFFFFF"/>
        </w:rPr>
        <w:t xml:space="preserve"> </w:t>
      </w:r>
    </w:p>
    <w:p w:rsidR="00853F65" w:rsidRPr="00853F65" w:rsidRDefault="00853F65" w:rsidP="007A7291">
      <w:pPr>
        <w:spacing w:line="276" w:lineRule="auto"/>
        <w:ind w:firstLine="426"/>
        <w:jc w:val="both"/>
        <w:rPr>
          <w:bCs/>
          <w:snapToGrid w:val="0"/>
          <w:color w:val="000000"/>
          <w:sz w:val="24"/>
          <w:szCs w:val="24"/>
          <w:shd w:val="clear" w:color="auto" w:fill="FFFFFF"/>
        </w:rPr>
      </w:pPr>
      <w:r w:rsidRPr="00853F65">
        <w:rPr>
          <w:bCs/>
          <w:snapToGrid w:val="0"/>
          <w:color w:val="000000"/>
          <w:sz w:val="24"/>
          <w:szCs w:val="24"/>
          <w:shd w:val="clear" w:color="auto" w:fill="FFFFFF"/>
        </w:rPr>
        <w:t>•</w:t>
      </w:r>
      <w:r w:rsidRPr="00853F65">
        <w:rPr>
          <w:bCs/>
          <w:snapToGrid w:val="0"/>
          <w:color w:val="000000"/>
          <w:sz w:val="24"/>
          <w:szCs w:val="24"/>
          <w:shd w:val="clear" w:color="auto" w:fill="FFFFFF"/>
        </w:rPr>
        <w:tab/>
        <w:t>в строительстве пристроев к школам - 2 объекта.</w:t>
      </w:r>
    </w:p>
    <w:p w:rsidR="00853F65" w:rsidRDefault="00853F65" w:rsidP="00B8594E">
      <w:pPr>
        <w:spacing w:line="276" w:lineRule="auto"/>
        <w:ind w:firstLine="709"/>
        <w:jc w:val="both"/>
        <w:rPr>
          <w:bCs/>
          <w:snapToGrid w:val="0"/>
          <w:color w:val="000000"/>
          <w:sz w:val="24"/>
          <w:szCs w:val="24"/>
          <w:shd w:val="clear" w:color="auto" w:fill="FFFFFF"/>
        </w:rPr>
      </w:pPr>
      <w:r w:rsidRPr="00853F65">
        <w:rPr>
          <w:bCs/>
          <w:snapToGrid w:val="0"/>
          <w:color w:val="000000"/>
          <w:sz w:val="24"/>
          <w:szCs w:val="24"/>
          <w:shd w:val="clear" w:color="auto" w:fill="FFFFFF"/>
        </w:rPr>
        <w:t>В капитальном ремонте нуждаются 69 школ, 53 детских сада (согласно сроку постановки зданий на капитальный ремонт).</w:t>
      </w:r>
    </w:p>
    <w:p w:rsidR="00853F65" w:rsidRDefault="00853F65" w:rsidP="00B8594E">
      <w:pPr>
        <w:spacing w:line="276" w:lineRule="auto"/>
        <w:ind w:firstLine="709"/>
        <w:jc w:val="both"/>
        <w:rPr>
          <w:bCs/>
          <w:snapToGrid w:val="0"/>
          <w:color w:val="000000"/>
          <w:sz w:val="24"/>
          <w:szCs w:val="24"/>
          <w:shd w:val="clear" w:color="auto" w:fill="FFFFFF"/>
        </w:rPr>
      </w:pPr>
      <w:r w:rsidRPr="00853F65">
        <w:rPr>
          <w:bCs/>
          <w:snapToGrid w:val="0"/>
          <w:color w:val="000000"/>
          <w:sz w:val="24"/>
          <w:szCs w:val="24"/>
          <w:shd w:val="clear" w:color="auto" w:fill="FFFFFF"/>
        </w:rPr>
        <w:t xml:space="preserve">В </w:t>
      </w:r>
      <w:r>
        <w:rPr>
          <w:bCs/>
          <w:snapToGrid w:val="0"/>
          <w:color w:val="000000"/>
          <w:sz w:val="24"/>
          <w:szCs w:val="24"/>
          <w:shd w:val="clear" w:color="auto" w:fill="FFFFFF"/>
        </w:rPr>
        <w:t>текущем году</w:t>
      </w:r>
      <w:r w:rsidRPr="00853F65">
        <w:rPr>
          <w:bCs/>
          <w:snapToGrid w:val="0"/>
          <w:color w:val="000000"/>
          <w:sz w:val="24"/>
          <w:szCs w:val="24"/>
          <w:shd w:val="clear" w:color="auto" w:fill="FFFFFF"/>
        </w:rPr>
        <w:t xml:space="preserve"> продолжены работы по строительству зданий детских садов: МАОУ детского сада № 210 «Ладушки» в 20 квартале Автозаводского района, микрорайон «Жигулевское море»,  микрорайон «Калина».</w:t>
      </w:r>
    </w:p>
    <w:p w:rsidR="00186591" w:rsidRDefault="00186591" w:rsidP="00B8594E">
      <w:pPr>
        <w:spacing w:line="276" w:lineRule="auto"/>
        <w:ind w:firstLine="709"/>
        <w:jc w:val="both"/>
        <w:rPr>
          <w:bCs/>
          <w:snapToGrid w:val="0"/>
          <w:color w:val="000000"/>
          <w:sz w:val="24"/>
          <w:szCs w:val="24"/>
          <w:shd w:val="clear" w:color="auto" w:fill="FFFFFF"/>
        </w:rPr>
      </w:pPr>
      <w:r w:rsidRPr="004C359F">
        <w:rPr>
          <w:bCs/>
          <w:snapToGrid w:val="0"/>
          <w:color w:val="000000"/>
          <w:sz w:val="24"/>
          <w:szCs w:val="24"/>
          <w:shd w:val="clear" w:color="auto" w:fill="FFFFFF"/>
        </w:rPr>
        <w:lastRenderedPageBreak/>
        <w:t xml:space="preserve">В 2019 году за счет средств городского и областного бюджета в сумме </w:t>
      </w:r>
      <w:r w:rsidRPr="004C359F">
        <w:rPr>
          <w:bCs/>
          <w:snapToGrid w:val="0"/>
          <w:color w:val="000000"/>
          <w:sz w:val="24"/>
          <w:szCs w:val="24"/>
          <w:shd w:val="clear" w:color="auto" w:fill="FFFFFF"/>
        </w:rPr>
        <w:br/>
        <w:t>29 676,9  тыс. руб</w:t>
      </w:r>
      <w:r w:rsidR="007A7291">
        <w:rPr>
          <w:bCs/>
          <w:snapToGrid w:val="0"/>
          <w:color w:val="000000"/>
          <w:sz w:val="24"/>
          <w:szCs w:val="24"/>
          <w:shd w:val="clear" w:color="auto" w:fill="FFFFFF"/>
        </w:rPr>
        <w:t>лей</w:t>
      </w:r>
      <w:r w:rsidRPr="004C359F">
        <w:rPr>
          <w:bCs/>
          <w:snapToGrid w:val="0"/>
          <w:color w:val="000000"/>
          <w:sz w:val="24"/>
          <w:szCs w:val="24"/>
          <w:shd w:val="clear" w:color="auto" w:fill="FFFFFF"/>
        </w:rPr>
        <w:t xml:space="preserve"> (</w:t>
      </w:r>
      <w:r w:rsidRPr="004C359F">
        <w:rPr>
          <w:color w:val="000000"/>
          <w:sz w:val="24"/>
          <w:szCs w:val="24"/>
          <w:shd w:val="clear" w:color="auto" w:fill="FFFFFF"/>
        </w:rPr>
        <w:t>облас</w:t>
      </w:r>
      <w:r w:rsidR="007A7291">
        <w:rPr>
          <w:color w:val="000000"/>
          <w:sz w:val="24"/>
          <w:szCs w:val="24"/>
          <w:shd w:val="clear" w:color="auto" w:fill="FFFFFF"/>
        </w:rPr>
        <w:t>тной бюджет – 25 225,3 тыс. рублей</w:t>
      </w:r>
      <w:r w:rsidRPr="004C359F">
        <w:rPr>
          <w:color w:val="000000"/>
          <w:sz w:val="24"/>
          <w:szCs w:val="24"/>
          <w:shd w:val="clear" w:color="auto" w:fill="FFFFFF"/>
        </w:rPr>
        <w:t>, городской бюджет – 4 451,5 тыс. руб</w:t>
      </w:r>
      <w:r w:rsidR="007A7291">
        <w:rPr>
          <w:color w:val="000000"/>
          <w:sz w:val="24"/>
          <w:szCs w:val="24"/>
          <w:shd w:val="clear" w:color="auto" w:fill="FFFFFF"/>
        </w:rPr>
        <w:t>лей</w:t>
      </w:r>
      <w:r w:rsidRPr="004C359F">
        <w:rPr>
          <w:color w:val="000000"/>
          <w:sz w:val="24"/>
          <w:szCs w:val="24"/>
          <w:shd w:val="clear" w:color="auto" w:fill="FFFFFF"/>
        </w:rPr>
        <w:t>)</w:t>
      </w:r>
      <w:r w:rsidRPr="004C359F">
        <w:rPr>
          <w:bCs/>
          <w:snapToGrid w:val="0"/>
          <w:color w:val="000000"/>
          <w:sz w:val="24"/>
          <w:szCs w:val="24"/>
          <w:shd w:val="clear" w:color="auto" w:fill="FFFFFF"/>
        </w:rPr>
        <w:t xml:space="preserve"> продолжен 2 этап капитального ремонта МБУ «Школа № 35</w:t>
      </w:r>
      <w:r>
        <w:rPr>
          <w:bCs/>
          <w:snapToGrid w:val="0"/>
          <w:color w:val="000000"/>
          <w:sz w:val="24"/>
          <w:szCs w:val="24"/>
          <w:shd w:val="clear" w:color="auto" w:fill="FFFFFF"/>
        </w:rPr>
        <w:t xml:space="preserve">. </w:t>
      </w:r>
    </w:p>
    <w:p w:rsidR="00186591" w:rsidRPr="004C359F" w:rsidRDefault="00186591" w:rsidP="00B8594E">
      <w:pPr>
        <w:spacing w:line="276" w:lineRule="auto"/>
        <w:ind w:firstLine="709"/>
        <w:jc w:val="both"/>
        <w:rPr>
          <w:color w:val="0070C0"/>
          <w:spacing w:val="-3"/>
          <w:sz w:val="24"/>
          <w:szCs w:val="24"/>
        </w:rPr>
      </w:pPr>
      <w:r w:rsidRPr="004C359F">
        <w:rPr>
          <w:bCs/>
          <w:color w:val="000000"/>
          <w:sz w:val="24"/>
          <w:szCs w:val="24"/>
        </w:rPr>
        <w:t xml:space="preserve">В 2019 году </w:t>
      </w:r>
      <w:r w:rsidRPr="004C359F">
        <w:rPr>
          <w:bCs/>
          <w:snapToGrid w:val="0"/>
          <w:color w:val="000000"/>
          <w:sz w:val="24"/>
          <w:szCs w:val="24"/>
        </w:rPr>
        <w:t>в рамках подпрограммы «Развитие системы отдыха и оздоровления детей в Самарской области на 2014 - 2020 годы»</w:t>
      </w:r>
      <w:r>
        <w:rPr>
          <w:bCs/>
          <w:snapToGrid w:val="0"/>
          <w:color w:val="000000"/>
          <w:sz w:val="24"/>
          <w:szCs w:val="24"/>
        </w:rPr>
        <w:t>,</w:t>
      </w:r>
      <w:r w:rsidRPr="004C359F">
        <w:rPr>
          <w:bCs/>
          <w:snapToGrid w:val="0"/>
          <w:color w:val="000000"/>
          <w:sz w:val="24"/>
          <w:szCs w:val="24"/>
        </w:rPr>
        <w:t xml:space="preserve"> государственной программы</w:t>
      </w:r>
      <w:r w:rsidRPr="004C359F">
        <w:rPr>
          <w:color w:val="000000"/>
          <w:spacing w:val="-3"/>
          <w:sz w:val="24"/>
          <w:szCs w:val="24"/>
        </w:rPr>
        <w:t xml:space="preserve"> Самарской области «Развитие социальной защиты населения в Самарской области на 2014 - 2020 годы» проведены мероприятия: по </w:t>
      </w:r>
      <w:r w:rsidRPr="004C359F">
        <w:rPr>
          <w:color w:val="000000"/>
          <w:sz w:val="24"/>
          <w:szCs w:val="24"/>
        </w:rPr>
        <w:t>капитальному ремонту спальных помещений, оконных блоков  корпуса № 5, устройство спортивной площадки, ремонт асфальтового покрытия, приобретение основных средств и инвентаря (мебель, оборудование)</w:t>
      </w:r>
      <w:r w:rsidRPr="004C359F">
        <w:rPr>
          <w:color w:val="000000"/>
          <w:spacing w:val="-3"/>
          <w:sz w:val="24"/>
          <w:szCs w:val="24"/>
        </w:rPr>
        <w:t xml:space="preserve"> </w:t>
      </w:r>
      <w:r w:rsidRPr="004C359F">
        <w:rPr>
          <w:color w:val="000000"/>
          <w:sz w:val="24"/>
          <w:szCs w:val="24"/>
        </w:rPr>
        <w:t>МАООУ «Пансионат «Радуга»</w:t>
      </w:r>
      <w:r w:rsidRPr="004C359F">
        <w:rPr>
          <w:bCs/>
          <w:color w:val="000000"/>
          <w:sz w:val="24"/>
          <w:szCs w:val="24"/>
        </w:rPr>
        <w:t xml:space="preserve">, </w:t>
      </w:r>
      <w:r w:rsidRPr="004C359F">
        <w:rPr>
          <w:color w:val="000000"/>
          <w:sz w:val="24"/>
          <w:szCs w:val="24"/>
        </w:rPr>
        <w:t>капитальный ремонт домиков, умывальников, вентиляционной системы столовой, ремонт скважины, асфальтового покрытия, приобретение установки фильтрации и очистки чаши бассейна</w:t>
      </w:r>
      <w:r w:rsidRPr="004C359F">
        <w:rPr>
          <w:bCs/>
          <w:color w:val="000000"/>
          <w:sz w:val="24"/>
          <w:szCs w:val="24"/>
        </w:rPr>
        <w:t xml:space="preserve"> </w:t>
      </w:r>
      <w:r w:rsidRPr="004C359F">
        <w:rPr>
          <w:color w:val="000000"/>
          <w:sz w:val="24"/>
          <w:szCs w:val="24"/>
        </w:rPr>
        <w:t>ДОЛ «Звездочка» МАООУ «Пансионат</w:t>
      </w:r>
      <w:r w:rsidRPr="004C359F">
        <w:rPr>
          <w:sz w:val="24"/>
          <w:szCs w:val="24"/>
        </w:rPr>
        <w:t xml:space="preserve"> «Радуга»</w:t>
      </w:r>
      <w:r w:rsidRPr="004C359F">
        <w:rPr>
          <w:bCs/>
          <w:color w:val="0070C0"/>
          <w:sz w:val="24"/>
          <w:szCs w:val="24"/>
        </w:rPr>
        <w:t xml:space="preserve">, </w:t>
      </w:r>
      <w:r w:rsidRPr="004C359F">
        <w:rPr>
          <w:sz w:val="24"/>
          <w:szCs w:val="24"/>
        </w:rPr>
        <w:t>капитальный ремонт 4 домиков, скважины, столовой, душевых, приобретение основных средств и инвентаря (мебель, оборудование, постельные принадлежности, мягкий инвентарь) б/о «Спартак» МБУДО СДЮСШОР № 9 «Велотол»</w:t>
      </w:r>
      <w:r w:rsidRPr="004C359F">
        <w:rPr>
          <w:spacing w:val="-3"/>
          <w:sz w:val="24"/>
          <w:szCs w:val="24"/>
        </w:rPr>
        <w:t>,</w:t>
      </w:r>
      <w:r w:rsidRPr="004C359F">
        <w:rPr>
          <w:bCs/>
          <w:color w:val="0070C0"/>
          <w:sz w:val="24"/>
          <w:szCs w:val="24"/>
        </w:rPr>
        <w:t xml:space="preserve"> </w:t>
      </w:r>
      <w:r w:rsidRPr="004C359F">
        <w:rPr>
          <w:sz w:val="24"/>
          <w:szCs w:val="24"/>
        </w:rPr>
        <w:t xml:space="preserve">приобретение основных средств и инвентаря </w:t>
      </w:r>
      <w:r w:rsidRPr="004C359F">
        <w:rPr>
          <w:color w:val="000000"/>
          <w:sz w:val="24"/>
          <w:szCs w:val="24"/>
        </w:rPr>
        <w:t>(технологическое оборудование пищеблока</w:t>
      </w:r>
      <w:r w:rsidRPr="004C359F">
        <w:rPr>
          <w:sz w:val="24"/>
          <w:szCs w:val="24"/>
        </w:rPr>
        <w:t>) с/б «Плес» МБУДО КСДЮСШОР № 10 «Олимп»</w:t>
      </w:r>
      <w:r w:rsidRPr="004C359F">
        <w:rPr>
          <w:bCs/>
          <w:color w:val="0070C0"/>
          <w:sz w:val="24"/>
          <w:szCs w:val="24"/>
        </w:rPr>
        <w:t xml:space="preserve">. </w:t>
      </w:r>
      <w:r w:rsidRPr="004C359F">
        <w:rPr>
          <w:bCs/>
          <w:color w:val="000000"/>
          <w:sz w:val="24"/>
          <w:szCs w:val="24"/>
        </w:rPr>
        <w:t xml:space="preserve">На данные цели выделено </w:t>
      </w:r>
      <w:r w:rsidRPr="004C359F">
        <w:rPr>
          <w:color w:val="000000"/>
          <w:sz w:val="24"/>
          <w:szCs w:val="24"/>
        </w:rPr>
        <w:t>21</w:t>
      </w:r>
      <w:r w:rsidR="00B66A8C">
        <w:rPr>
          <w:color w:val="000000"/>
          <w:sz w:val="24"/>
          <w:szCs w:val="24"/>
        </w:rPr>
        <w:t xml:space="preserve"> </w:t>
      </w:r>
      <w:r w:rsidRPr="004C359F">
        <w:rPr>
          <w:color w:val="000000"/>
          <w:sz w:val="24"/>
          <w:szCs w:val="24"/>
        </w:rPr>
        <w:t>268</w:t>
      </w:r>
      <w:r w:rsidRPr="004C359F">
        <w:rPr>
          <w:sz w:val="24"/>
          <w:szCs w:val="24"/>
        </w:rPr>
        <w:t>,1 тыс. руб</w:t>
      </w:r>
      <w:r w:rsidR="00853F65">
        <w:rPr>
          <w:sz w:val="24"/>
          <w:szCs w:val="24"/>
        </w:rPr>
        <w:t>лей</w:t>
      </w:r>
      <w:r w:rsidRPr="004C359F">
        <w:rPr>
          <w:sz w:val="24"/>
          <w:szCs w:val="24"/>
        </w:rPr>
        <w:t xml:space="preserve"> (областной бюджет – 20</w:t>
      </w:r>
      <w:r w:rsidR="00B66A8C">
        <w:rPr>
          <w:sz w:val="24"/>
          <w:szCs w:val="24"/>
        </w:rPr>
        <w:t xml:space="preserve"> </w:t>
      </w:r>
      <w:r w:rsidRPr="004C359F">
        <w:rPr>
          <w:sz w:val="24"/>
          <w:szCs w:val="24"/>
        </w:rPr>
        <w:t>204,7 тыс. руб</w:t>
      </w:r>
      <w:r w:rsidR="00B8594E">
        <w:rPr>
          <w:sz w:val="24"/>
          <w:szCs w:val="24"/>
        </w:rPr>
        <w:t>лей</w:t>
      </w:r>
      <w:r w:rsidRPr="004C359F">
        <w:rPr>
          <w:sz w:val="24"/>
          <w:szCs w:val="24"/>
        </w:rPr>
        <w:t>, местный бюджет – 1</w:t>
      </w:r>
      <w:r w:rsidR="00B66A8C">
        <w:rPr>
          <w:sz w:val="24"/>
          <w:szCs w:val="24"/>
        </w:rPr>
        <w:t xml:space="preserve"> </w:t>
      </w:r>
      <w:r w:rsidRPr="004C359F">
        <w:rPr>
          <w:sz w:val="24"/>
          <w:szCs w:val="24"/>
        </w:rPr>
        <w:t>063,4 тыс. руб</w:t>
      </w:r>
      <w:r w:rsidR="00B8594E">
        <w:rPr>
          <w:sz w:val="24"/>
          <w:szCs w:val="24"/>
        </w:rPr>
        <w:t>лей</w:t>
      </w:r>
      <w:r w:rsidRPr="004C359F">
        <w:rPr>
          <w:sz w:val="24"/>
          <w:szCs w:val="24"/>
        </w:rPr>
        <w:t>).</w:t>
      </w:r>
    </w:p>
    <w:p w:rsidR="00186591" w:rsidRDefault="00186591" w:rsidP="00B8594E">
      <w:pPr>
        <w:spacing w:line="276" w:lineRule="auto"/>
        <w:ind w:firstLine="709"/>
        <w:jc w:val="both"/>
        <w:rPr>
          <w:sz w:val="24"/>
          <w:szCs w:val="24"/>
        </w:rPr>
      </w:pPr>
      <w:r w:rsidRPr="004C359F">
        <w:rPr>
          <w:sz w:val="24"/>
          <w:szCs w:val="24"/>
        </w:rPr>
        <w:t>В 2019 году в рамках Губернаторской программы «Содействие» будут производиться работы по устройству спортивной площадки на территории МБУ «Лицей № 19». Финансирование 4</w:t>
      </w:r>
      <w:r w:rsidR="00B66A8C">
        <w:rPr>
          <w:sz w:val="24"/>
          <w:szCs w:val="24"/>
        </w:rPr>
        <w:t xml:space="preserve"> </w:t>
      </w:r>
      <w:r w:rsidRPr="004C359F">
        <w:rPr>
          <w:sz w:val="24"/>
          <w:szCs w:val="24"/>
        </w:rPr>
        <w:t>851,7 тыс.</w:t>
      </w:r>
      <w:r w:rsidR="00B8594E">
        <w:rPr>
          <w:sz w:val="24"/>
          <w:szCs w:val="24"/>
        </w:rPr>
        <w:t xml:space="preserve"> </w:t>
      </w:r>
      <w:r w:rsidRPr="004C359F">
        <w:rPr>
          <w:sz w:val="24"/>
          <w:szCs w:val="24"/>
        </w:rPr>
        <w:t>руб</w:t>
      </w:r>
      <w:r w:rsidR="00B8594E">
        <w:rPr>
          <w:sz w:val="24"/>
          <w:szCs w:val="24"/>
        </w:rPr>
        <w:t>лей</w:t>
      </w:r>
      <w:r w:rsidRPr="004C359F">
        <w:rPr>
          <w:sz w:val="24"/>
          <w:szCs w:val="24"/>
        </w:rPr>
        <w:t xml:space="preserve">, в том числе местный бюджет </w:t>
      </w:r>
      <w:r w:rsidR="00B66A8C">
        <w:rPr>
          <w:sz w:val="24"/>
          <w:szCs w:val="24"/>
        </w:rPr>
        <w:t>–</w:t>
      </w:r>
      <w:r w:rsidRPr="004C359F">
        <w:rPr>
          <w:sz w:val="24"/>
          <w:szCs w:val="24"/>
        </w:rPr>
        <w:t xml:space="preserve"> 1</w:t>
      </w:r>
      <w:r w:rsidR="00B66A8C">
        <w:rPr>
          <w:sz w:val="24"/>
          <w:szCs w:val="24"/>
        </w:rPr>
        <w:t xml:space="preserve"> </w:t>
      </w:r>
      <w:r w:rsidRPr="004C359F">
        <w:rPr>
          <w:sz w:val="24"/>
          <w:szCs w:val="24"/>
        </w:rPr>
        <w:t>067,4 тыс.</w:t>
      </w:r>
      <w:r w:rsidR="00B8594E">
        <w:rPr>
          <w:sz w:val="24"/>
          <w:szCs w:val="24"/>
        </w:rPr>
        <w:t xml:space="preserve"> </w:t>
      </w:r>
      <w:r w:rsidRPr="004C359F">
        <w:rPr>
          <w:sz w:val="24"/>
          <w:szCs w:val="24"/>
        </w:rPr>
        <w:t>руб</w:t>
      </w:r>
      <w:r w:rsidR="00B8594E">
        <w:rPr>
          <w:sz w:val="24"/>
          <w:szCs w:val="24"/>
        </w:rPr>
        <w:t>лей</w:t>
      </w:r>
      <w:r w:rsidRPr="004C359F">
        <w:rPr>
          <w:sz w:val="24"/>
          <w:szCs w:val="24"/>
        </w:rPr>
        <w:t xml:space="preserve">, областной бюджет </w:t>
      </w:r>
      <w:r w:rsidR="00B66A8C">
        <w:rPr>
          <w:sz w:val="24"/>
          <w:szCs w:val="24"/>
        </w:rPr>
        <w:t>–</w:t>
      </w:r>
      <w:r w:rsidRPr="004C359F">
        <w:rPr>
          <w:sz w:val="24"/>
          <w:szCs w:val="24"/>
        </w:rPr>
        <w:t xml:space="preserve"> 3</w:t>
      </w:r>
      <w:r w:rsidR="00B66A8C">
        <w:rPr>
          <w:sz w:val="24"/>
          <w:szCs w:val="24"/>
        </w:rPr>
        <w:t xml:space="preserve"> </w:t>
      </w:r>
      <w:r w:rsidRPr="004C359F">
        <w:rPr>
          <w:sz w:val="24"/>
          <w:szCs w:val="24"/>
        </w:rPr>
        <w:t>784,3 тыс.</w:t>
      </w:r>
      <w:r w:rsidR="00B8594E">
        <w:rPr>
          <w:sz w:val="24"/>
          <w:szCs w:val="24"/>
        </w:rPr>
        <w:t xml:space="preserve"> </w:t>
      </w:r>
      <w:r w:rsidRPr="004C359F">
        <w:rPr>
          <w:sz w:val="24"/>
          <w:szCs w:val="24"/>
        </w:rPr>
        <w:t>руб</w:t>
      </w:r>
      <w:r w:rsidR="00B8594E">
        <w:rPr>
          <w:sz w:val="24"/>
          <w:szCs w:val="24"/>
        </w:rPr>
        <w:t>лей.</w:t>
      </w:r>
    </w:p>
    <w:p w:rsidR="00186591" w:rsidRPr="004C359F" w:rsidRDefault="00186591" w:rsidP="00B8594E">
      <w:pPr>
        <w:spacing w:line="276" w:lineRule="auto"/>
        <w:ind w:firstLine="709"/>
        <w:contextualSpacing/>
        <w:jc w:val="both"/>
        <w:rPr>
          <w:color w:val="0070C0"/>
          <w:sz w:val="24"/>
          <w:szCs w:val="24"/>
        </w:rPr>
      </w:pPr>
      <w:r w:rsidRPr="004C359F">
        <w:rPr>
          <w:sz w:val="24"/>
          <w:szCs w:val="24"/>
        </w:rPr>
        <w:t xml:space="preserve">В рамках  государственной программы Самарской области «Развитие физической культуры и спорта в Самарской области на 2014-2020 годы» планируется устройство УСП на территории МБУ «Лицей № 51» и МБУ «Школа № 94». </w:t>
      </w:r>
    </w:p>
    <w:p w:rsidR="00186591" w:rsidRPr="004C359F" w:rsidRDefault="00186591" w:rsidP="00B8594E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C359F">
        <w:rPr>
          <w:sz w:val="24"/>
          <w:szCs w:val="24"/>
        </w:rPr>
        <w:t>В  государственную программу «Строительство, реконструкция и капитальный ремонт образовательных учреждений Самарской области» до 2025 года» включено:</w:t>
      </w:r>
    </w:p>
    <w:p w:rsidR="00186591" w:rsidRPr="004C359F" w:rsidRDefault="00186591" w:rsidP="00B8594E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C359F">
        <w:rPr>
          <w:sz w:val="24"/>
          <w:szCs w:val="24"/>
        </w:rPr>
        <w:t xml:space="preserve">- строительство школы на 630 мест в 18 квартале Автозаводского района на 2019 - 2020 годы, строительство школы на 1600 мест в 20 квартале Автозаводского района на 2019 - 2020 годы; </w:t>
      </w:r>
    </w:p>
    <w:p w:rsidR="00186591" w:rsidRPr="004C359F" w:rsidRDefault="00186591" w:rsidP="00B8594E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C359F">
        <w:rPr>
          <w:sz w:val="24"/>
          <w:szCs w:val="24"/>
        </w:rPr>
        <w:t>- строительство пристроев: на 300 мест к МБУ «Шко</w:t>
      </w:r>
      <w:r>
        <w:rPr>
          <w:sz w:val="24"/>
          <w:szCs w:val="24"/>
        </w:rPr>
        <w:t xml:space="preserve">ла № 4» </w:t>
      </w:r>
      <w:r>
        <w:rPr>
          <w:sz w:val="24"/>
          <w:szCs w:val="24"/>
        </w:rPr>
        <w:br/>
        <w:t>на 2020 - 2021 годы;  к</w:t>
      </w:r>
      <w:r w:rsidRPr="004C359F">
        <w:rPr>
          <w:sz w:val="24"/>
          <w:szCs w:val="24"/>
        </w:rPr>
        <w:t xml:space="preserve"> </w:t>
      </w:r>
      <w:r>
        <w:rPr>
          <w:sz w:val="24"/>
          <w:szCs w:val="24"/>
        </w:rPr>
        <w:t>МБУ «Школа № 58» - на 2018 год (п</w:t>
      </w:r>
      <w:r w:rsidRPr="004C359F">
        <w:rPr>
          <w:sz w:val="24"/>
          <w:szCs w:val="24"/>
        </w:rPr>
        <w:t>о данным объектам отсутствует проектно-сметная документация</w:t>
      </w:r>
      <w:r>
        <w:rPr>
          <w:sz w:val="24"/>
          <w:szCs w:val="24"/>
        </w:rPr>
        <w:t>)</w:t>
      </w:r>
      <w:r w:rsidRPr="004C359F">
        <w:rPr>
          <w:sz w:val="24"/>
          <w:szCs w:val="24"/>
        </w:rPr>
        <w:t>;</w:t>
      </w:r>
    </w:p>
    <w:p w:rsidR="00186591" w:rsidRPr="004C359F" w:rsidRDefault="00186591" w:rsidP="00B8594E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C359F">
        <w:rPr>
          <w:color w:val="0070C0"/>
          <w:sz w:val="24"/>
          <w:szCs w:val="24"/>
        </w:rPr>
        <w:t xml:space="preserve">- </w:t>
      </w:r>
      <w:r w:rsidRPr="004C359F">
        <w:rPr>
          <w:bCs/>
          <w:snapToGrid w:val="0"/>
          <w:sz w:val="24"/>
          <w:szCs w:val="24"/>
        </w:rPr>
        <w:t>реконструкция МБУ «Школа № 15» для создания дополнительных дошкольных (54 мест) и школьных мест (100 мест).</w:t>
      </w:r>
    </w:p>
    <w:p w:rsidR="00186591" w:rsidRPr="004C359F" w:rsidRDefault="00186591" w:rsidP="00B8594E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4C359F">
        <w:rPr>
          <w:sz w:val="24"/>
          <w:szCs w:val="24"/>
        </w:rPr>
        <w:t xml:space="preserve">В Министерство образования и науки Самарской области поданы заявки на выделение областных субсидий на капитальный ремонт </w:t>
      </w:r>
      <w:r w:rsidRPr="004C359F">
        <w:rPr>
          <w:sz w:val="24"/>
          <w:szCs w:val="24"/>
        </w:rPr>
        <w:br/>
        <w:t>23 муниципальных образова</w:t>
      </w:r>
      <w:r>
        <w:rPr>
          <w:sz w:val="24"/>
          <w:szCs w:val="24"/>
        </w:rPr>
        <w:t xml:space="preserve">тельных учреждений (30 зданий), а также </w:t>
      </w:r>
      <w:r w:rsidRPr="004C359F">
        <w:rPr>
          <w:sz w:val="24"/>
          <w:szCs w:val="24"/>
        </w:rPr>
        <w:t>на выделение областных субсидий на выполнение мероприятий по организации доступности зданий для маломобильных категорий населения в 23 образовательных учреждениях.</w:t>
      </w:r>
    </w:p>
    <w:p w:rsidR="00186591" w:rsidRPr="004C359F" w:rsidRDefault="00186591" w:rsidP="00B8594E">
      <w:pPr>
        <w:spacing w:line="276" w:lineRule="auto"/>
        <w:ind w:firstLine="709"/>
        <w:jc w:val="both"/>
        <w:rPr>
          <w:sz w:val="24"/>
          <w:szCs w:val="24"/>
        </w:rPr>
      </w:pPr>
      <w:r w:rsidRPr="004C359F">
        <w:rPr>
          <w:sz w:val="24"/>
          <w:szCs w:val="24"/>
        </w:rPr>
        <w:t xml:space="preserve">Городские мероприятия для муниципальных образовательных организаций городского округа Тольятти, предусмотренные муниципальной программой «Развитие системы образования городского округа Тольятти </w:t>
      </w:r>
      <w:r w:rsidR="00B8594E">
        <w:rPr>
          <w:sz w:val="24"/>
          <w:szCs w:val="24"/>
        </w:rPr>
        <w:t xml:space="preserve">на 2017 - 2020 гг.» и </w:t>
      </w:r>
      <w:r w:rsidR="00B8594E" w:rsidRPr="004C359F">
        <w:rPr>
          <w:sz w:val="24"/>
          <w:szCs w:val="24"/>
        </w:rPr>
        <w:t>мероприятия для молодежи городского округа Тольятти в рамках муниципальной программы организации работы с детьми и молодежью в городском округе Тольятти «Молодежь Тольятти» на 2014-</w:t>
      </w:r>
      <w:r w:rsidR="00B8594E" w:rsidRPr="004C359F">
        <w:rPr>
          <w:sz w:val="24"/>
          <w:szCs w:val="24"/>
        </w:rPr>
        <w:lastRenderedPageBreak/>
        <w:t xml:space="preserve">2020 гг. </w:t>
      </w:r>
      <w:r w:rsidRPr="004C359F">
        <w:rPr>
          <w:sz w:val="24"/>
          <w:szCs w:val="24"/>
        </w:rPr>
        <w:t xml:space="preserve"> в </w:t>
      </w:r>
      <w:r w:rsidR="00853F65">
        <w:rPr>
          <w:sz w:val="24"/>
          <w:szCs w:val="24"/>
        </w:rPr>
        <w:t>1</w:t>
      </w:r>
      <w:r w:rsidRPr="004C359F">
        <w:rPr>
          <w:sz w:val="24"/>
          <w:szCs w:val="24"/>
        </w:rPr>
        <w:t xml:space="preserve"> полугодии 2019 года проведены в срок со 100% уровнем достижения результата. </w:t>
      </w:r>
    </w:p>
    <w:p w:rsidR="00186591" w:rsidRPr="000604DF" w:rsidRDefault="00186591" w:rsidP="00186591">
      <w:pPr>
        <w:tabs>
          <w:tab w:val="left" w:pos="7485"/>
        </w:tabs>
        <w:jc w:val="center"/>
        <w:rPr>
          <w:sz w:val="24"/>
          <w:szCs w:val="24"/>
        </w:rPr>
      </w:pPr>
      <w:r w:rsidRPr="000604DF">
        <w:rPr>
          <w:sz w:val="24"/>
          <w:szCs w:val="24"/>
        </w:rPr>
        <w:t>Ожидаемое выполнение прогнозных показателей по разделу «Образование» на 2019 год</w:t>
      </w:r>
    </w:p>
    <w:p w:rsidR="00186591" w:rsidRPr="005319C7" w:rsidRDefault="00186591" w:rsidP="00186591">
      <w:pPr>
        <w:tabs>
          <w:tab w:val="left" w:pos="7485"/>
        </w:tabs>
        <w:jc w:val="center"/>
        <w:rPr>
          <w:sz w:val="24"/>
          <w:szCs w:val="24"/>
          <w:highlight w:val="yellow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292"/>
        <w:gridCol w:w="1214"/>
        <w:gridCol w:w="1223"/>
        <w:gridCol w:w="1224"/>
        <w:gridCol w:w="1083"/>
      </w:tblGrid>
      <w:tr w:rsidR="00186591" w:rsidRPr="005319C7" w:rsidTr="000149E7">
        <w:trPr>
          <w:trHeight w:val="216"/>
          <w:tblHeader/>
        </w:trPr>
        <w:tc>
          <w:tcPr>
            <w:tcW w:w="1780" w:type="pct"/>
            <w:vMerge w:val="restart"/>
          </w:tcPr>
          <w:p w:rsidR="00186591" w:rsidRPr="000604DF" w:rsidRDefault="00186591" w:rsidP="00B8594E">
            <w:pPr>
              <w:jc w:val="center"/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</w:rPr>
              <w:t>Показатели</w:t>
            </w:r>
          </w:p>
        </w:tc>
        <w:tc>
          <w:tcPr>
            <w:tcW w:w="619" w:type="pct"/>
            <w:vMerge w:val="restart"/>
          </w:tcPr>
          <w:p w:rsidR="00186591" w:rsidRPr="000604DF" w:rsidRDefault="00186591" w:rsidP="00B8594E">
            <w:pPr>
              <w:jc w:val="center"/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02" w:type="pct"/>
            <w:gridSpan w:val="3"/>
          </w:tcPr>
          <w:p w:rsidR="00186591" w:rsidRPr="000604DF" w:rsidRDefault="00186591" w:rsidP="00B8594E">
            <w:pPr>
              <w:jc w:val="center"/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</w:rPr>
              <w:t>Прогноз на 2019 год</w:t>
            </w:r>
          </w:p>
        </w:tc>
        <w:tc>
          <w:tcPr>
            <w:tcW w:w="599" w:type="pct"/>
            <w:vMerge w:val="restart"/>
          </w:tcPr>
          <w:p w:rsidR="00186591" w:rsidRPr="000604DF" w:rsidRDefault="00186591" w:rsidP="00B8594E">
            <w:pPr>
              <w:jc w:val="center"/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</w:rPr>
              <w:t>2019 год (оценка)</w:t>
            </w:r>
          </w:p>
        </w:tc>
      </w:tr>
      <w:tr w:rsidR="00186591" w:rsidRPr="005319C7" w:rsidTr="000149E7">
        <w:trPr>
          <w:tblHeader/>
        </w:trPr>
        <w:tc>
          <w:tcPr>
            <w:tcW w:w="1780" w:type="pct"/>
            <w:vMerge/>
          </w:tcPr>
          <w:p w:rsidR="00186591" w:rsidRPr="000604DF" w:rsidRDefault="00186591" w:rsidP="00B859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186591" w:rsidRPr="000604DF" w:rsidRDefault="00186591" w:rsidP="00B85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186591" w:rsidRPr="000604DF" w:rsidRDefault="00186591" w:rsidP="00B8594E">
            <w:pPr>
              <w:jc w:val="center"/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</w:rPr>
              <w:t>1 вариант (консерва</w:t>
            </w:r>
          </w:p>
          <w:p w:rsidR="00186591" w:rsidRPr="000604DF" w:rsidRDefault="00186591" w:rsidP="00B8594E">
            <w:pPr>
              <w:jc w:val="center"/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</w:rPr>
              <w:t>тивный)</w:t>
            </w:r>
          </w:p>
        </w:tc>
        <w:tc>
          <w:tcPr>
            <w:tcW w:w="647" w:type="pct"/>
          </w:tcPr>
          <w:p w:rsidR="00186591" w:rsidRPr="000604DF" w:rsidRDefault="00186591" w:rsidP="00B8594E">
            <w:pPr>
              <w:jc w:val="center"/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</w:rPr>
              <w:t>2 вариант</w:t>
            </w:r>
          </w:p>
          <w:p w:rsidR="00186591" w:rsidRPr="000604DF" w:rsidRDefault="00186591" w:rsidP="00B8594E">
            <w:pPr>
              <w:jc w:val="center"/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</w:rPr>
              <w:t>(базовый)</w:t>
            </w:r>
          </w:p>
        </w:tc>
        <w:tc>
          <w:tcPr>
            <w:tcW w:w="708" w:type="pct"/>
          </w:tcPr>
          <w:p w:rsidR="00186591" w:rsidRPr="000604DF" w:rsidRDefault="00186591" w:rsidP="00B8594E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04DF">
              <w:rPr>
                <w:sz w:val="24"/>
                <w:szCs w:val="24"/>
                <w:shd w:val="clear" w:color="auto" w:fill="FFFFFF"/>
              </w:rPr>
              <w:t>3 вариант</w:t>
            </w:r>
          </w:p>
          <w:p w:rsidR="00186591" w:rsidRPr="000604DF" w:rsidRDefault="00186591" w:rsidP="00B8594E">
            <w:pPr>
              <w:snapToGrid w:val="0"/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  <w:shd w:val="clear" w:color="auto" w:fill="FFFFFF"/>
              </w:rPr>
              <w:t>(целевой)</w:t>
            </w:r>
          </w:p>
        </w:tc>
        <w:tc>
          <w:tcPr>
            <w:tcW w:w="599" w:type="pct"/>
            <w:vMerge/>
          </w:tcPr>
          <w:p w:rsidR="00186591" w:rsidRPr="000604DF" w:rsidRDefault="00186591" w:rsidP="00B8594E">
            <w:pPr>
              <w:snapToGrid w:val="0"/>
              <w:rPr>
                <w:sz w:val="24"/>
                <w:szCs w:val="24"/>
              </w:rPr>
            </w:pPr>
          </w:p>
        </w:tc>
      </w:tr>
      <w:tr w:rsidR="00186591" w:rsidRPr="005319C7" w:rsidTr="000149E7">
        <w:trPr>
          <w:trHeight w:val="694"/>
        </w:trPr>
        <w:tc>
          <w:tcPr>
            <w:tcW w:w="1780" w:type="pct"/>
          </w:tcPr>
          <w:p w:rsidR="00186591" w:rsidRPr="000604DF" w:rsidRDefault="00186591" w:rsidP="00B8594E">
            <w:pPr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</w:rPr>
              <w:t>Численность детей в возрасте 1-6 лет</w:t>
            </w:r>
          </w:p>
        </w:tc>
        <w:tc>
          <w:tcPr>
            <w:tcW w:w="619" w:type="pct"/>
          </w:tcPr>
          <w:p w:rsidR="00186591" w:rsidRPr="000604DF" w:rsidRDefault="00186591" w:rsidP="00B8594E">
            <w:pPr>
              <w:jc w:val="center"/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</w:rPr>
              <w:t>человек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86591" w:rsidRPr="00830E2A" w:rsidRDefault="00186591" w:rsidP="00B8594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30E2A">
              <w:rPr>
                <w:sz w:val="24"/>
                <w:szCs w:val="24"/>
              </w:rPr>
              <w:t>52</w:t>
            </w:r>
            <w:r w:rsidR="00B8594E">
              <w:rPr>
                <w:sz w:val="24"/>
                <w:szCs w:val="24"/>
              </w:rPr>
              <w:t xml:space="preserve"> </w:t>
            </w:r>
            <w:r w:rsidRPr="00830E2A">
              <w:rPr>
                <w:sz w:val="24"/>
                <w:szCs w:val="24"/>
              </w:rPr>
              <w:t>200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86591" w:rsidRPr="00830E2A" w:rsidRDefault="00186591" w:rsidP="00B8594E">
            <w:pPr>
              <w:jc w:val="center"/>
              <w:rPr>
                <w:sz w:val="24"/>
                <w:szCs w:val="24"/>
              </w:rPr>
            </w:pPr>
            <w:r w:rsidRPr="00830E2A">
              <w:rPr>
                <w:sz w:val="24"/>
                <w:szCs w:val="24"/>
              </w:rPr>
              <w:t>52</w:t>
            </w:r>
            <w:r w:rsidR="00B8594E">
              <w:rPr>
                <w:sz w:val="24"/>
                <w:szCs w:val="24"/>
              </w:rPr>
              <w:t xml:space="preserve"> </w:t>
            </w:r>
            <w:r w:rsidRPr="00830E2A">
              <w:rPr>
                <w:sz w:val="24"/>
                <w:szCs w:val="24"/>
              </w:rPr>
              <w:t>240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86591" w:rsidRPr="00830E2A" w:rsidRDefault="00186591" w:rsidP="00B8594E">
            <w:pPr>
              <w:jc w:val="center"/>
              <w:rPr>
                <w:sz w:val="24"/>
                <w:szCs w:val="24"/>
              </w:rPr>
            </w:pPr>
            <w:r w:rsidRPr="00830E2A">
              <w:rPr>
                <w:sz w:val="24"/>
                <w:szCs w:val="24"/>
              </w:rPr>
              <w:t>52</w:t>
            </w:r>
            <w:r w:rsidR="00B8594E">
              <w:rPr>
                <w:sz w:val="24"/>
                <w:szCs w:val="24"/>
              </w:rPr>
              <w:t xml:space="preserve"> </w:t>
            </w:r>
            <w:r w:rsidRPr="00830E2A">
              <w:rPr>
                <w:sz w:val="24"/>
                <w:szCs w:val="24"/>
              </w:rPr>
              <w:t>300</w:t>
            </w:r>
          </w:p>
        </w:tc>
        <w:tc>
          <w:tcPr>
            <w:tcW w:w="599" w:type="pct"/>
            <w:vAlign w:val="center"/>
          </w:tcPr>
          <w:p w:rsidR="00186591" w:rsidRPr="00830E2A" w:rsidRDefault="00186591" w:rsidP="00B8594E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830E2A">
              <w:rPr>
                <w:sz w:val="24"/>
                <w:szCs w:val="24"/>
                <w:shd w:val="clear" w:color="auto" w:fill="FFFFFF"/>
              </w:rPr>
              <w:t>52</w:t>
            </w:r>
            <w:r w:rsidR="00B859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30E2A">
              <w:rPr>
                <w:sz w:val="24"/>
                <w:szCs w:val="24"/>
                <w:shd w:val="clear" w:color="auto" w:fill="FFFFFF"/>
              </w:rPr>
              <w:t>037</w:t>
            </w:r>
          </w:p>
        </w:tc>
      </w:tr>
      <w:tr w:rsidR="00186591" w:rsidRPr="005319C7" w:rsidTr="000149E7">
        <w:trPr>
          <w:trHeight w:val="694"/>
        </w:trPr>
        <w:tc>
          <w:tcPr>
            <w:tcW w:w="1780" w:type="pct"/>
          </w:tcPr>
          <w:p w:rsidR="00186591" w:rsidRPr="0066136D" w:rsidRDefault="00186591" w:rsidP="00B8594E">
            <w:pPr>
              <w:rPr>
                <w:sz w:val="24"/>
                <w:szCs w:val="24"/>
              </w:rPr>
            </w:pPr>
            <w:r w:rsidRPr="0066136D">
              <w:rPr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619" w:type="pct"/>
          </w:tcPr>
          <w:p w:rsidR="00186591" w:rsidRPr="0066136D" w:rsidRDefault="00186591" w:rsidP="00B8594E">
            <w:pPr>
              <w:jc w:val="center"/>
              <w:rPr>
                <w:sz w:val="24"/>
                <w:szCs w:val="24"/>
              </w:rPr>
            </w:pPr>
          </w:p>
          <w:p w:rsidR="00186591" w:rsidRPr="0066136D" w:rsidRDefault="00186591" w:rsidP="00B8594E">
            <w:pPr>
              <w:jc w:val="center"/>
              <w:rPr>
                <w:sz w:val="24"/>
                <w:szCs w:val="24"/>
              </w:rPr>
            </w:pPr>
            <w:r w:rsidRPr="0066136D">
              <w:rPr>
                <w:sz w:val="24"/>
                <w:szCs w:val="24"/>
              </w:rPr>
              <w:t>человек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86591" w:rsidRPr="0066136D" w:rsidRDefault="00186591" w:rsidP="00B8594E">
            <w:pPr>
              <w:jc w:val="center"/>
              <w:rPr>
                <w:sz w:val="24"/>
                <w:szCs w:val="24"/>
              </w:rPr>
            </w:pPr>
            <w:r w:rsidRPr="0066136D">
              <w:rPr>
                <w:sz w:val="24"/>
                <w:szCs w:val="24"/>
              </w:rPr>
              <w:t>40</w:t>
            </w:r>
            <w:r w:rsidR="00B8594E">
              <w:rPr>
                <w:sz w:val="24"/>
                <w:szCs w:val="24"/>
              </w:rPr>
              <w:t xml:space="preserve"> </w:t>
            </w:r>
            <w:r w:rsidRPr="0066136D">
              <w:rPr>
                <w:sz w:val="24"/>
                <w:szCs w:val="24"/>
              </w:rPr>
              <w:t>887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86591" w:rsidRPr="0066136D" w:rsidRDefault="00186591" w:rsidP="00B8594E">
            <w:pPr>
              <w:jc w:val="center"/>
              <w:rPr>
                <w:sz w:val="24"/>
                <w:szCs w:val="24"/>
              </w:rPr>
            </w:pPr>
            <w:r w:rsidRPr="0066136D">
              <w:rPr>
                <w:sz w:val="24"/>
                <w:szCs w:val="24"/>
              </w:rPr>
              <w:t>40</w:t>
            </w:r>
            <w:r w:rsidR="00B8594E">
              <w:rPr>
                <w:sz w:val="24"/>
                <w:szCs w:val="24"/>
              </w:rPr>
              <w:t xml:space="preserve"> </w:t>
            </w:r>
            <w:r w:rsidRPr="0066136D">
              <w:rPr>
                <w:sz w:val="24"/>
                <w:szCs w:val="24"/>
              </w:rPr>
              <w:t>887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86591" w:rsidRPr="0066136D" w:rsidRDefault="00186591" w:rsidP="00B8594E">
            <w:pPr>
              <w:jc w:val="center"/>
              <w:rPr>
                <w:sz w:val="24"/>
                <w:szCs w:val="24"/>
              </w:rPr>
            </w:pPr>
            <w:r w:rsidRPr="0066136D">
              <w:rPr>
                <w:sz w:val="24"/>
                <w:szCs w:val="24"/>
              </w:rPr>
              <w:t>41</w:t>
            </w:r>
            <w:r w:rsidR="00B8594E">
              <w:rPr>
                <w:sz w:val="24"/>
                <w:szCs w:val="24"/>
              </w:rPr>
              <w:t xml:space="preserve"> </w:t>
            </w:r>
            <w:r w:rsidRPr="0066136D">
              <w:rPr>
                <w:sz w:val="24"/>
                <w:szCs w:val="24"/>
              </w:rPr>
              <w:t>610</w:t>
            </w:r>
          </w:p>
        </w:tc>
        <w:tc>
          <w:tcPr>
            <w:tcW w:w="599" w:type="pct"/>
            <w:vAlign w:val="center"/>
          </w:tcPr>
          <w:p w:rsidR="00186591" w:rsidRPr="0066136D" w:rsidRDefault="00186591" w:rsidP="00B8594E">
            <w:pPr>
              <w:jc w:val="center"/>
              <w:rPr>
                <w:sz w:val="24"/>
                <w:szCs w:val="24"/>
              </w:rPr>
            </w:pPr>
            <w:r w:rsidRPr="0066136D">
              <w:rPr>
                <w:sz w:val="24"/>
                <w:szCs w:val="24"/>
              </w:rPr>
              <w:t>41</w:t>
            </w:r>
            <w:r w:rsidR="00B8594E">
              <w:rPr>
                <w:sz w:val="24"/>
                <w:szCs w:val="24"/>
              </w:rPr>
              <w:t xml:space="preserve"> </w:t>
            </w:r>
            <w:r w:rsidRPr="0066136D">
              <w:rPr>
                <w:sz w:val="24"/>
                <w:szCs w:val="24"/>
              </w:rPr>
              <w:t>150</w:t>
            </w:r>
          </w:p>
        </w:tc>
      </w:tr>
      <w:tr w:rsidR="00186591" w:rsidRPr="005319C7" w:rsidTr="000149E7">
        <w:trPr>
          <w:trHeight w:val="703"/>
        </w:trPr>
        <w:tc>
          <w:tcPr>
            <w:tcW w:w="1780" w:type="pct"/>
          </w:tcPr>
          <w:p w:rsidR="00186591" w:rsidRPr="007301BD" w:rsidRDefault="00186591" w:rsidP="00B8594E">
            <w:pPr>
              <w:rPr>
                <w:sz w:val="24"/>
                <w:szCs w:val="24"/>
              </w:rPr>
            </w:pPr>
            <w:r w:rsidRPr="007301BD">
              <w:rPr>
                <w:sz w:val="24"/>
                <w:szCs w:val="24"/>
              </w:rPr>
              <w:t>Численность детей, состоящих на учете для определения в дошкольные образовательные учреждения</w:t>
            </w:r>
          </w:p>
        </w:tc>
        <w:tc>
          <w:tcPr>
            <w:tcW w:w="619" w:type="pct"/>
          </w:tcPr>
          <w:p w:rsidR="00661529" w:rsidRDefault="00661529" w:rsidP="00B8594E">
            <w:pPr>
              <w:jc w:val="center"/>
              <w:rPr>
                <w:sz w:val="24"/>
                <w:szCs w:val="24"/>
              </w:rPr>
            </w:pPr>
          </w:p>
          <w:p w:rsidR="00186591" w:rsidRPr="007301BD" w:rsidRDefault="00186591" w:rsidP="00B8594E">
            <w:pPr>
              <w:jc w:val="center"/>
              <w:rPr>
                <w:sz w:val="24"/>
                <w:szCs w:val="24"/>
              </w:rPr>
            </w:pPr>
            <w:r w:rsidRPr="007301BD">
              <w:rPr>
                <w:sz w:val="24"/>
                <w:szCs w:val="24"/>
              </w:rPr>
              <w:t>человек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86591" w:rsidRPr="007301BD" w:rsidRDefault="00186591" w:rsidP="00B8594E">
            <w:pPr>
              <w:jc w:val="center"/>
              <w:rPr>
                <w:sz w:val="24"/>
                <w:szCs w:val="24"/>
              </w:rPr>
            </w:pPr>
            <w:r w:rsidRPr="007301BD">
              <w:rPr>
                <w:sz w:val="24"/>
                <w:szCs w:val="24"/>
              </w:rPr>
              <w:t>6</w:t>
            </w:r>
            <w:r w:rsidR="00B8594E">
              <w:rPr>
                <w:sz w:val="24"/>
                <w:szCs w:val="24"/>
              </w:rPr>
              <w:t xml:space="preserve"> </w:t>
            </w:r>
            <w:r w:rsidRPr="007301BD">
              <w:rPr>
                <w:sz w:val="24"/>
                <w:szCs w:val="24"/>
              </w:rPr>
              <w:t>944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86591" w:rsidRPr="007301BD" w:rsidRDefault="00186591" w:rsidP="00B8594E">
            <w:pPr>
              <w:jc w:val="center"/>
              <w:rPr>
                <w:sz w:val="24"/>
                <w:szCs w:val="24"/>
              </w:rPr>
            </w:pPr>
            <w:r w:rsidRPr="007301BD">
              <w:rPr>
                <w:sz w:val="24"/>
                <w:szCs w:val="24"/>
              </w:rPr>
              <w:t>6</w:t>
            </w:r>
            <w:r w:rsidR="00B8594E">
              <w:rPr>
                <w:sz w:val="24"/>
                <w:szCs w:val="24"/>
              </w:rPr>
              <w:t xml:space="preserve"> </w:t>
            </w:r>
            <w:r w:rsidRPr="007301BD">
              <w:rPr>
                <w:sz w:val="24"/>
                <w:szCs w:val="24"/>
              </w:rPr>
              <w:t>944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86591" w:rsidRPr="007301BD" w:rsidRDefault="00186591" w:rsidP="00B8594E">
            <w:pPr>
              <w:jc w:val="center"/>
              <w:rPr>
                <w:sz w:val="24"/>
                <w:szCs w:val="24"/>
              </w:rPr>
            </w:pPr>
            <w:r w:rsidRPr="007301BD">
              <w:rPr>
                <w:sz w:val="24"/>
                <w:szCs w:val="24"/>
              </w:rPr>
              <w:t>6</w:t>
            </w:r>
            <w:r w:rsidR="00B8594E">
              <w:rPr>
                <w:sz w:val="24"/>
                <w:szCs w:val="24"/>
              </w:rPr>
              <w:t xml:space="preserve"> </w:t>
            </w:r>
            <w:r w:rsidRPr="007301BD">
              <w:rPr>
                <w:sz w:val="24"/>
                <w:szCs w:val="24"/>
              </w:rPr>
              <w:t>944</w:t>
            </w:r>
          </w:p>
        </w:tc>
        <w:tc>
          <w:tcPr>
            <w:tcW w:w="599" w:type="pct"/>
            <w:vAlign w:val="center"/>
          </w:tcPr>
          <w:p w:rsidR="00186591" w:rsidRPr="007301BD" w:rsidRDefault="00186591" w:rsidP="00B8594E">
            <w:pPr>
              <w:jc w:val="center"/>
              <w:rPr>
                <w:sz w:val="24"/>
                <w:szCs w:val="24"/>
              </w:rPr>
            </w:pPr>
            <w:r w:rsidRPr="007301BD">
              <w:rPr>
                <w:sz w:val="24"/>
                <w:szCs w:val="24"/>
              </w:rPr>
              <w:t>9</w:t>
            </w:r>
            <w:r w:rsidR="00B8594E">
              <w:rPr>
                <w:sz w:val="24"/>
                <w:szCs w:val="24"/>
              </w:rPr>
              <w:t xml:space="preserve"> </w:t>
            </w:r>
            <w:r w:rsidRPr="007301BD">
              <w:rPr>
                <w:sz w:val="24"/>
                <w:szCs w:val="24"/>
              </w:rPr>
              <w:t>251</w:t>
            </w:r>
          </w:p>
        </w:tc>
      </w:tr>
      <w:tr w:rsidR="00186591" w:rsidRPr="005319C7" w:rsidTr="000149E7">
        <w:trPr>
          <w:trHeight w:val="347"/>
        </w:trPr>
        <w:tc>
          <w:tcPr>
            <w:tcW w:w="1780" w:type="pct"/>
          </w:tcPr>
          <w:p w:rsidR="00186591" w:rsidRPr="000604DF" w:rsidRDefault="00186591" w:rsidP="00B8594E">
            <w:pPr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</w:rPr>
              <w:t>в т.ч. в возрасте 3-6 лет</w:t>
            </w:r>
          </w:p>
        </w:tc>
        <w:tc>
          <w:tcPr>
            <w:tcW w:w="619" w:type="pct"/>
          </w:tcPr>
          <w:p w:rsidR="00186591" w:rsidRPr="000604DF" w:rsidRDefault="00186591" w:rsidP="00B8594E">
            <w:pPr>
              <w:jc w:val="center"/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</w:rPr>
              <w:t>человек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86591" w:rsidRPr="00830E2A" w:rsidRDefault="00186591" w:rsidP="00B8594E">
            <w:pPr>
              <w:jc w:val="center"/>
              <w:rPr>
                <w:sz w:val="24"/>
                <w:szCs w:val="24"/>
              </w:rPr>
            </w:pPr>
            <w:r w:rsidRPr="00830E2A">
              <w:rPr>
                <w:sz w:val="24"/>
                <w:szCs w:val="24"/>
              </w:rPr>
              <w:t>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86591" w:rsidRPr="00830E2A" w:rsidRDefault="00186591" w:rsidP="00B8594E">
            <w:pPr>
              <w:jc w:val="center"/>
              <w:rPr>
                <w:sz w:val="24"/>
                <w:szCs w:val="24"/>
              </w:rPr>
            </w:pPr>
            <w:r w:rsidRPr="00830E2A">
              <w:rPr>
                <w:sz w:val="24"/>
                <w:szCs w:val="24"/>
              </w:rPr>
              <w:t>0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86591" w:rsidRPr="00830E2A" w:rsidRDefault="00186591" w:rsidP="00B8594E">
            <w:pPr>
              <w:jc w:val="center"/>
              <w:rPr>
                <w:sz w:val="24"/>
                <w:szCs w:val="24"/>
              </w:rPr>
            </w:pPr>
            <w:r w:rsidRPr="00830E2A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</w:tcPr>
          <w:p w:rsidR="00186591" w:rsidRPr="00830E2A" w:rsidRDefault="00186591" w:rsidP="00B8594E">
            <w:pPr>
              <w:jc w:val="center"/>
              <w:rPr>
                <w:sz w:val="24"/>
                <w:szCs w:val="24"/>
              </w:rPr>
            </w:pPr>
            <w:r w:rsidRPr="00830E2A">
              <w:rPr>
                <w:sz w:val="24"/>
                <w:szCs w:val="24"/>
              </w:rPr>
              <w:t>0</w:t>
            </w:r>
          </w:p>
        </w:tc>
      </w:tr>
      <w:tr w:rsidR="00186591" w:rsidRPr="005319C7" w:rsidTr="000149E7">
        <w:trPr>
          <w:trHeight w:val="703"/>
        </w:trPr>
        <w:tc>
          <w:tcPr>
            <w:tcW w:w="1780" w:type="pct"/>
          </w:tcPr>
          <w:p w:rsidR="00186591" w:rsidRPr="000604DF" w:rsidRDefault="00186591" w:rsidP="00B8594E">
            <w:pPr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619" w:type="pct"/>
          </w:tcPr>
          <w:p w:rsidR="00186591" w:rsidRPr="000604DF" w:rsidRDefault="00186591" w:rsidP="00B8594E">
            <w:pPr>
              <w:jc w:val="center"/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</w:rPr>
              <w:t>мест на 1000 детей в возрасте 3-6 лет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86591" w:rsidRPr="00830E2A" w:rsidRDefault="00186591" w:rsidP="00B8594E">
            <w:pPr>
              <w:jc w:val="center"/>
              <w:rPr>
                <w:sz w:val="24"/>
                <w:szCs w:val="24"/>
              </w:rPr>
            </w:pPr>
            <w:r w:rsidRPr="00830E2A">
              <w:rPr>
                <w:sz w:val="24"/>
                <w:szCs w:val="24"/>
              </w:rPr>
              <w:t>904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86591" w:rsidRPr="00830E2A" w:rsidRDefault="00186591" w:rsidP="00B8594E">
            <w:pPr>
              <w:jc w:val="center"/>
              <w:rPr>
                <w:sz w:val="24"/>
                <w:szCs w:val="24"/>
              </w:rPr>
            </w:pPr>
            <w:r w:rsidRPr="00830E2A">
              <w:rPr>
                <w:sz w:val="24"/>
                <w:szCs w:val="24"/>
              </w:rPr>
              <w:t>904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86591" w:rsidRPr="00830E2A" w:rsidRDefault="00186591" w:rsidP="00B8594E">
            <w:pPr>
              <w:jc w:val="center"/>
              <w:rPr>
                <w:sz w:val="24"/>
                <w:szCs w:val="24"/>
              </w:rPr>
            </w:pPr>
            <w:r w:rsidRPr="00830E2A">
              <w:rPr>
                <w:sz w:val="24"/>
                <w:szCs w:val="24"/>
              </w:rPr>
              <w:t>907</w:t>
            </w:r>
          </w:p>
        </w:tc>
        <w:tc>
          <w:tcPr>
            <w:tcW w:w="599" w:type="pct"/>
            <w:vAlign w:val="center"/>
          </w:tcPr>
          <w:p w:rsidR="00186591" w:rsidRPr="00830E2A" w:rsidRDefault="00186591" w:rsidP="00B8594E">
            <w:pPr>
              <w:jc w:val="center"/>
              <w:rPr>
                <w:sz w:val="24"/>
                <w:szCs w:val="24"/>
              </w:rPr>
            </w:pPr>
            <w:r w:rsidRPr="00830E2A">
              <w:rPr>
                <w:sz w:val="24"/>
                <w:szCs w:val="24"/>
              </w:rPr>
              <w:t>906</w:t>
            </w:r>
          </w:p>
        </w:tc>
      </w:tr>
      <w:tr w:rsidR="00186591" w:rsidRPr="005319C7" w:rsidTr="000149E7">
        <w:trPr>
          <w:trHeight w:val="526"/>
        </w:trPr>
        <w:tc>
          <w:tcPr>
            <w:tcW w:w="1780" w:type="pct"/>
          </w:tcPr>
          <w:p w:rsidR="00186591" w:rsidRPr="000604DF" w:rsidRDefault="00186591" w:rsidP="00B8594E">
            <w:pPr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</w:rPr>
              <w:t>Численность детей в возрасте 7-17 лет</w:t>
            </w:r>
          </w:p>
        </w:tc>
        <w:tc>
          <w:tcPr>
            <w:tcW w:w="619" w:type="pct"/>
          </w:tcPr>
          <w:p w:rsidR="00186591" w:rsidRPr="000604DF" w:rsidRDefault="00186591" w:rsidP="00B8594E">
            <w:pPr>
              <w:jc w:val="center"/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</w:rPr>
              <w:t>человек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86591" w:rsidRPr="00830E2A" w:rsidRDefault="00186591" w:rsidP="00B8594E">
            <w:pPr>
              <w:jc w:val="center"/>
              <w:rPr>
                <w:sz w:val="24"/>
                <w:szCs w:val="24"/>
              </w:rPr>
            </w:pPr>
            <w:r w:rsidRPr="00830E2A">
              <w:rPr>
                <w:sz w:val="24"/>
                <w:szCs w:val="24"/>
              </w:rPr>
              <w:t>80</w:t>
            </w:r>
            <w:r w:rsidR="00B8594E">
              <w:rPr>
                <w:sz w:val="24"/>
                <w:szCs w:val="24"/>
              </w:rPr>
              <w:t xml:space="preserve"> </w:t>
            </w:r>
            <w:r w:rsidRPr="00830E2A">
              <w:rPr>
                <w:sz w:val="24"/>
                <w:szCs w:val="24"/>
              </w:rPr>
              <w:t>470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86591" w:rsidRPr="00830E2A" w:rsidRDefault="00186591" w:rsidP="00B8594E">
            <w:pPr>
              <w:jc w:val="center"/>
              <w:rPr>
                <w:sz w:val="24"/>
                <w:szCs w:val="24"/>
              </w:rPr>
            </w:pPr>
            <w:r w:rsidRPr="00830E2A">
              <w:rPr>
                <w:sz w:val="24"/>
                <w:szCs w:val="24"/>
              </w:rPr>
              <w:t>80</w:t>
            </w:r>
            <w:r w:rsidR="00B8594E">
              <w:rPr>
                <w:sz w:val="24"/>
                <w:szCs w:val="24"/>
              </w:rPr>
              <w:t xml:space="preserve"> </w:t>
            </w:r>
            <w:r w:rsidRPr="00830E2A">
              <w:rPr>
                <w:sz w:val="24"/>
                <w:szCs w:val="24"/>
              </w:rPr>
              <w:t>562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86591" w:rsidRPr="00830E2A" w:rsidRDefault="00186591" w:rsidP="00B8594E">
            <w:pPr>
              <w:jc w:val="center"/>
              <w:rPr>
                <w:sz w:val="24"/>
                <w:szCs w:val="24"/>
              </w:rPr>
            </w:pPr>
            <w:r w:rsidRPr="00830E2A">
              <w:rPr>
                <w:sz w:val="24"/>
                <w:szCs w:val="24"/>
              </w:rPr>
              <w:t>80</w:t>
            </w:r>
            <w:r w:rsidR="00B8594E">
              <w:rPr>
                <w:sz w:val="24"/>
                <w:szCs w:val="24"/>
              </w:rPr>
              <w:t xml:space="preserve"> </w:t>
            </w:r>
            <w:r w:rsidRPr="00830E2A">
              <w:rPr>
                <w:sz w:val="24"/>
                <w:szCs w:val="24"/>
              </w:rPr>
              <w:t>630</w:t>
            </w:r>
          </w:p>
        </w:tc>
        <w:tc>
          <w:tcPr>
            <w:tcW w:w="599" w:type="pct"/>
            <w:vAlign w:val="center"/>
          </w:tcPr>
          <w:p w:rsidR="00186591" w:rsidRPr="00830E2A" w:rsidRDefault="00186591" w:rsidP="00B8594E">
            <w:pPr>
              <w:jc w:val="center"/>
              <w:rPr>
                <w:sz w:val="24"/>
                <w:szCs w:val="24"/>
              </w:rPr>
            </w:pPr>
            <w:r w:rsidRPr="00830E2A">
              <w:rPr>
                <w:sz w:val="24"/>
                <w:szCs w:val="24"/>
              </w:rPr>
              <w:t>80</w:t>
            </w:r>
            <w:r w:rsidR="00B8594E">
              <w:rPr>
                <w:sz w:val="24"/>
                <w:szCs w:val="24"/>
              </w:rPr>
              <w:t xml:space="preserve"> </w:t>
            </w:r>
            <w:r w:rsidRPr="00830E2A">
              <w:rPr>
                <w:sz w:val="24"/>
                <w:szCs w:val="24"/>
              </w:rPr>
              <w:t>352</w:t>
            </w:r>
          </w:p>
        </w:tc>
      </w:tr>
      <w:tr w:rsidR="00186591" w:rsidRPr="005319C7" w:rsidTr="000149E7">
        <w:trPr>
          <w:trHeight w:val="703"/>
        </w:trPr>
        <w:tc>
          <w:tcPr>
            <w:tcW w:w="1780" w:type="pct"/>
          </w:tcPr>
          <w:p w:rsidR="00186591" w:rsidRPr="000604DF" w:rsidRDefault="00186591" w:rsidP="00B8594E">
            <w:pPr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</w:rPr>
              <w:t>Доля обучающихся в дневных муниципальных общеобразовательных учреждениях, занимающихся в первую смену</w:t>
            </w:r>
          </w:p>
        </w:tc>
        <w:tc>
          <w:tcPr>
            <w:tcW w:w="619" w:type="pct"/>
          </w:tcPr>
          <w:p w:rsidR="00186591" w:rsidRPr="000604DF" w:rsidRDefault="00186591" w:rsidP="00B8594E">
            <w:pPr>
              <w:jc w:val="center"/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</w:rPr>
              <w:t>%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86591" w:rsidRPr="00830E2A" w:rsidRDefault="00186591" w:rsidP="00B8594E">
            <w:pPr>
              <w:jc w:val="center"/>
              <w:rPr>
                <w:sz w:val="24"/>
                <w:szCs w:val="24"/>
              </w:rPr>
            </w:pPr>
            <w:r w:rsidRPr="00830E2A">
              <w:rPr>
                <w:sz w:val="24"/>
                <w:szCs w:val="24"/>
              </w:rPr>
              <w:t>97,0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86591" w:rsidRPr="00830E2A" w:rsidRDefault="00186591" w:rsidP="00B8594E">
            <w:pPr>
              <w:jc w:val="center"/>
              <w:rPr>
                <w:sz w:val="24"/>
                <w:szCs w:val="24"/>
              </w:rPr>
            </w:pPr>
            <w:r w:rsidRPr="00830E2A">
              <w:rPr>
                <w:sz w:val="24"/>
                <w:szCs w:val="24"/>
              </w:rPr>
              <w:t>97,3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86591" w:rsidRPr="00830E2A" w:rsidRDefault="00186591" w:rsidP="00B8594E">
            <w:pPr>
              <w:jc w:val="center"/>
              <w:rPr>
                <w:sz w:val="24"/>
                <w:szCs w:val="24"/>
              </w:rPr>
            </w:pPr>
            <w:r w:rsidRPr="00830E2A">
              <w:rPr>
                <w:sz w:val="24"/>
                <w:szCs w:val="24"/>
              </w:rPr>
              <w:t>97,5</w:t>
            </w:r>
          </w:p>
        </w:tc>
        <w:tc>
          <w:tcPr>
            <w:tcW w:w="599" w:type="pct"/>
            <w:vAlign w:val="center"/>
          </w:tcPr>
          <w:p w:rsidR="00186591" w:rsidRPr="00830E2A" w:rsidRDefault="00186591" w:rsidP="00B8594E">
            <w:pPr>
              <w:jc w:val="center"/>
              <w:rPr>
                <w:sz w:val="24"/>
                <w:szCs w:val="24"/>
              </w:rPr>
            </w:pPr>
            <w:r w:rsidRPr="00830E2A">
              <w:rPr>
                <w:sz w:val="24"/>
                <w:szCs w:val="24"/>
              </w:rPr>
              <w:t>96,8</w:t>
            </w:r>
          </w:p>
        </w:tc>
      </w:tr>
      <w:tr w:rsidR="00186591" w:rsidRPr="005319C7" w:rsidTr="000149E7">
        <w:trPr>
          <w:trHeight w:val="70"/>
        </w:trPr>
        <w:tc>
          <w:tcPr>
            <w:tcW w:w="1780" w:type="pct"/>
          </w:tcPr>
          <w:p w:rsidR="00186591" w:rsidRPr="0066136D" w:rsidRDefault="00186591" w:rsidP="00B8594E">
            <w:pPr>
              <w:rPr>
                <w:sz w:val="24"/>
                <w:szCs w:val="24"/>
              </w:rPr>
            </w:pPr>
            <w:r w:rsidRPr="0066136D">
              <w:rPr>
                <w:sz w:val="24"/>
                <w:szCs w:val="24"/>
              </w:rPr>
              <w:t>Охват дополнительным образованием детей в возрасте 5-18 лет</w:t>
            </w:r>
          </w:p>
        </w:tc>
        <w:tc>
          <w:tcPr>
            <w:tcW w:w="619" w:type="pct"/>
          </w:tcPr>
          <w:p w:rsidR="00186591" w:rsidRPr="0066136D" w:rsidRDefault="00186591" w:rsidP="00B8594E">
            <w:pPr>
              <w:jc w:val="center"/>
              <w:rPr>
                <w:sz w:val="24"/>
                <w:szCs w:val="24"/>
              </w:rPr>
            </w:pPr>
          </w:p>
          <w:p w:rsidR="00186591" w:rsidRPr="0066136D" w:rsidRDefault="00186591" w:rsidP="00B8594E">
            <w:pPr>
              <w:jc w:val="center"/>
              <w:rPr>
                <w:sz w:val="24"/>
                <w:szCs w:val="24"/>
              </w:rPr>
            </w:pPr>
            <w:r w:rsidRPr="0066136D">
              <w:rPr>
                <w:sz w:val="24"/>
                <w:szCs w:val="24"/>
              </w:rPr>
              <w:t>%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86591" w:rsidRPr="0066136D" w:rsidRDefault="00186591" w:rsidP="00B8594E">
            <w:pPr>
              <w:jc w:val="center"/>
              <w:rPr>
                <w:sz w:val="24"/>
                <w:szCs w:val="24"/>
              </w:rPr>
            </w:pPr>
            <w:r w:rsidRPr="0066136D">
              <w:rPr>
                <w:sz w:val="24"/>
                <w:szCs w:val="24"/>
              </w:rPr>
              <w:t>76,9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186591" w:rsidRPr="0066136D" w:rsidRDefault="00186591" w:rsidP="00B8594E">
            <w:pPr>
              <w:jc w:val="center"/>
              <w:rPr>
                <w:sz w:val="24"/>
                <w:szCs w:val="24"/>
              </w:rPr>
            </w:pPr>
            <w:r w:rsidRPr="0066136D">
              <w:rPr>
                <w:sz w:val="24"/>
                <w:szCs w:val="24"/>
              </w:rPr>
              <w:t>77,3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86591" w:rsidRPr="0066136D" w:rsidRDefault="00186591" w:rsidP="00B8594E">
            <w:pPr>
              <w:jc w:val="center"/>
              <w:rPr>
                <w:sz w:val="24"/>
                <w:szCs w:val="24"/>
              </w:rPr>
            </w:pPr>
            <w:r w:rsidRPr="0066136D">
              <w:rPr>
                <w:sz w:val="24"/>
                <w:szCs w:val="24"/>
              </w:rPr>
              <w:t>77,7</w:t>
            </w:r>
          </w:p>
        </w:tc>
        <w:tc>
          <w:tcPr>
            <w:tcW w:w="599" w:type="pct"/>
            <w:vAlign w:val="center"/>
          </w:tcPr>
          <w:p w:rsidR="00186591" w:rsidRPr="0066136D" w:rsidRDefault="00186591" w:rsidP="00B8594E">
            <w:pPr>
              <w:jc w:val="center"/>
              <w:rPr>
                <w:sz w:val="24"/>
                <w:szCs w:val="24"/>
              </w:rPr>
            </w:pPr>
            <w:r w:rsidRPr="0066136D">
              <w:rPr>
                <w:sz w:val="24"/>
                <w:szCs w:val="24"/>
              </w:rPr>
              <w:t>78,4</w:t>
            </w:r>
          </w:p>
        </w:tc>
      </w:tr>
    </w:tbl>
    <w:p w:rsidR="00186591" w:rsidRPr="005319C7" w:rsidRDefault="00186591" w:rsidP="00186591">
      <w:pPr>
        <w:widowControl w:val="0"/>
        <w:overflowPunct w:val="0"/>
        <w:autoSpaceDE w:val="0"/>
        <w:spacing w:line="276" w:lineRule="auto"/>
        <w:ind w:firstLine="709"/>
        <w:jc w:val="both"/>
        <w:textAlignment w:val="baseline"/>
        <w:rPr>
          <w:sz w:val="24"/>
          <w:szCs w:val="24"/>
          <w:highlight w:val="yellow"/>
        </w:rPr>
      </w:pPr>
    </w:p>
    <w:p w:rsidR="00186591" w:rsidRPr="000F086F" w:rsidRDefault="00186591" w:rsidP="00B8594E">
      <w:pPr>
        <w:pStyle w:val="af9"/>
        <w:spacing w:after="0" w:line="276" w:lineRule="auto"/>
        <w:ind w:firstLine="709"/>
        <w:jc w:val="both"/>
      </w:pPr>
      <w:r w:rsidRPr="00D47FD7">
        <w:t>Показател</w:t>
      </w:r>
      <w:r w:rsidR="00B8594E">
        <w:t>и</w:t>
      </w:r>
      <w:r w:rsidRPr="00D47FD7">
        <w:t xml:space="preserve"> </w:t>
      </w:r>
      <w:r w:rsidR="00B8594E">
        <w:t>отрасли «Образование» скорректированы с учетом фактически сложившихся значений за 2018 год и за истекший период 2019 года.</w:t>
      </w:r>
    </w:p>
    <w:p w:rsidR="00186591" w:rsidRDefault="00B8594E" w:rsidP="00B8594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Наиболее существенно скорректирован п</w:t>
      </w:r>
      <w:r w:rsidR="00186591" w:rsidRPr="00731D67">
        <w:rPr>
          <w:sz w:val="24"/>
          <w:szCs w:val="24"/>
          <w:lang w:eastAsia="en-US"/>
        </w:rPr>
        <w:t xml:space="preserve">оказатель «Численность детей, состоящих на учете для определения в дошкольные образовательные учреждения» </w:t>
      </w:r>
      <w:r w:rsidRPr="00AA78B0">
        <w:rPr>
          <w:sz w:val="24"/>
          <w:szCs w:val="24"/>
        </w:rPr>
        <w:t>по причине изменения источника информации</w:t>
      </w:r>
      <w:r w:rsidR="00663FFE">
        <w:rPr>
          <w:sz w:val="24"/>
          <w:szCs w:val="24"/>
        </w:rPr>
        <w:t xml:space="preserve"> и подхода к формированию данных</w:t>
      </w:r>
      <w:r w:rsidRPr="00AA78B0">
        <w:rPr>
          <w:sz w:val="24"/>
          <w:szCs w:val="24"/>
        </w:rPr>
        <w:t xml:space="preserve">: </w:t>
      </w:r>
      <w:r w:rsidR="00661529">
        <w:rPr>
          <w:sz w:val="24"/>
          <w:szCs w:val="24"/>
        </w:rPr>
        <w:t>фактические данные за</w:t>
      </w:r>
      <w:r w:rsidRPr="00AA78B0">
        <w:rPr>
          <w:sz w:val="24"/>
          <w:szCs w:val="24"/>
        </w:rPr>
        <w:t xml:space="preserve"> </w:t>
      </w:r>
      <w:r w:rsidR="00661529">
        <w:rPr>
          <w:sz w:val="24"/>
          <w:szCs w:val="24"/>
        </w:rPr>
        <w:t xml:space="preserve">2018 год и, соответственно, оценочные значения показателя за </w:t>
      </w:r>
      <w:r w:rsidRPr="00AA78B0">
        <w:rPr>
          <w:sz w:val="24"/>
          <w:szCs w:val="24"/>
        </w:rPr>
        <w:t xml:space="preserve">2019 год </w:t>
      </w:r>
      <w:r w:rsidR="00661529">
        <w:rPr>
          <w:sz w:val="24"/>
          <w:szCs w:val="24"/>
        </w:rPr>
        <w:t>и на период 2020 – 2022 годов приведены по</w:t>
      </w:r>
      <w:r w:rsidRPr="00AA78B0">
        <w:rPr>
          <w:sz w:val="24"/>
          <w:szCs w:val="24"/>
        </w:rPr>
        <w:t xml:space="preserve"> численност</w:t>
      </w:r>
      <w:r w:rsidR="00661529">
        <w:rPr>
          <w:sz w:val="24"/>
          <w:szCs w:val="24"/>
        </w:rPr>
        <w:t xml:space="preserve">и </w:t>
      </w:r>
      <w:r w:rsidRPr="00AA78B0">
        <w:rPr>
          <w:sz w:val="24"/>
          <w:szCs w:val="24"/>
        </w:rPr>
        <w:t xml:space="preserve">детей </w:t>
      </w:r>
      <w:r w:rsidR="00663FFE">
        <w:rPr>
          <w:sz w:val="24"/>
          <w:szCs w:val="24"/>
        </w:rPr>
        <w:t>возрастной категории от 0 д</w:t>
      </w:r>
      <w:r w:rsidR="0064294F">
        <w:rPr>
          <w:sz w:val="24"/>
          <w:szCs w:val="24"/>
        </w:rPr>
        <w:t>о 7</w:t>
      </w:r>
      <w:r w:rsidRPr="00AA78B0">
        <w:rPr>
          <w:sz w:val="24"/>
          <w:szCs w:val="24"/>
        </w:rPr>
        <w:t xml:space="preserve"> лет по данным, </w:t>
      </w:r>
      <w:r w:rsidR="00425C38" w:rsidRPr="00AA78B0">
        <w:rPr>
          <w:sz w:val="24"/>
          <w:szCs w:val="24"/>
        </w:rPr>
        <w:t xml:space="preserve">содержащимся в ИС </w:t>
      </w:r>
      <w:r w:rsidRPr="00AA78B0">
        <w:rPr>
          <w:sz w:val="24"/>
          <w:szCs w:val="24"/>
        </w:rPr>
        <w:t>«</w:t>
      </w:r>
      <w:r w:rsidR="00425C38" w:rsidRPr="00AA78B0">
        <w:rPr>
          <w:sz w:val="24"/>
          <w:szCs w:val="24"/>
        </w:rPr>
        <w:t>Е-услуги</w:t>
      </w:r>
      <w:r w:rsidR="00186591" w:rsidRPr="00AA78B0">
        <w:rPr>
          <w:sz w:val="24"/>
          <w:szCs w:val="24"/>
        </w:rPr>
        <w:t xml:space="preserve"> Образование</w:t>
      </w:r>
      <w:r w:rsidRPr="00AA78B0">
        <w:rPr>
          <w:sz w:val="24"/>
          <w:szCs w:val="24"/>
        </w:rPr>
        <w:t xml:space="preserve">» </w:t>
      </w:r>
      <w:r w:rsidR="004C5FF7">
        <w:rPr>
          <w:sz w:val="24"/>
          <w:szCs w:val="24"/>
        </w:rPr>
        <w:t xml:space="preserve">(в </w:t>
      </w:r>
      <w:r w:rsidR="00661529">
        <w:rPr>
          <w:sz w:val="24"/>
          <w:szCs w:val="24"/>
        </w:rPr>
        <w:t>прошлом 2018</w:t>
      </w:r>
      <w:r w:rsidRPr="00AA78B0">
        <w:rPr>
          <w:sz w:val="24"/>
          <w:szCs w:val="24"/>
        </w:rPr>
        <w:t xml:space="preserve"> году </w:t>
      </w:r>
      <w:r w:rsidR="00661529">
        <w:rPr>
          <w:sz w:val="24"/>
          <w:szCs w:val="24"/>
        </w:rPr>
        <w:t>значения показателя на весь прогнозный период рассчитаны по</w:t>
      </w:r>
      <w:r w:rsidR="00052CC0" w:rsidRPr="00AA78B0">
        <w:rPr>
          <w:sz w:val="24"/>
          <w:szCs w:val="24"/>
        </w:rPr>
        <w:t xml:space="preserve"> численност</w:t>
      </w:r>
      <w:r w:rsidR="00661529">
        <w:rPr>
          <w:sz w:val="24"/>
          <w:szCs w:val="24"/>
        </w:rPr>
        <w:t>и</w:t>
      </w:r>
      <w:r w:rsidR="00052CC0" w:rsidRPr="00AA78B0">
        <w:rPr>
          <w:sz w:val="24"/>
          <w:szCs w:val="24"/>
        </w:rPr>
        <w:t xml:space="preserve"> детей возрастной категории от 1</w:t>
      </w:r>
      <w:r w:rsidR="009F3411" w:rsidRPr="00AA78B0">
        <w:rPr>
          <w:sz w:val="24"/>
          <w:szCs w:val="24"/>
        </w:rPr>
        <w:t xml:space="preserve"> до 6</w:t>
      </w:r>
      <w:r w:rsidR="00052CC0" w:rsidRPr="00AA78B0">
        <w:rPr>
          <w:sz w:val="24"/>
          <w:szCs w:val="24"/>
        </w:rPr>
        <w:t xml:space="preserve"> лет</w:t>
      </w:r>
      <w:r w:rsidRPr="00AA78B0">
        <w:rPr>
          <w:sz w:val="24"/>
          <w:szCs w:val="24"/>
        </w:rPr>
        <w:t>)</w:t>
      </w:r>
      <w:r w:rsidR="00186591" w:rsidRPr="00AA78B0">
        <w:rPr>
          <w:sz w:val="24"/>
          <w:szCs w:val="24"/>
        </w:rPr>
        <w:t>.</w:t>
      </w:r>
      <w:r w:rsidR="00186591" w:rsidRPr="00731D67">
        <w:rPr>
          <w:sz w:val="24"/>
          <w:szCs w:val="24"/>
        </w:rPr>
        <w:t xml:space="preserve"> </w:t>
      </w:r>
    </w:p>
    <w:p w:rsidR="00726201" w:rsidRDefault="00726201" w:rsidP="009F2C67">
      <w:pPr>
        <w:tabs>
          <w:tab w:val="left" w:pos="7485"/>
        </w:tabs>
        <w:overflowPunct w:val="0"/>
        <w:autoSpaceDE w:val="0"/>
        <w:spacing w:line="276" w:lineRule="auto"/>
        <w:jc w:val="center"/>
        <w:textAlignment w:val="baseline"/>
        <w:rPr>
          <w:b/>
          <w:sz w:val="24"/>
          <w:szCs w:val="24"/>
        </w:rPr>
      </w:pPr>
    </w:p>
    <w:p w:rsidR="00A50BA4" w:rsidRPr="00B52AF1" w:rsidRDefault="00A50BA4" w:rsidP="009F2C67">
      <w:pPr>
        <w:tabs>
          <w:tab w:val="left" w:pos="7485"/>
        </w:tabs>
        <w:overflowPunct w:val="0"/>
        <w:autoSpaceDE w:val="0"/>
        <w:spacing w:line="276" w:lineRule="auto"/>
        <w:jc w:val="center"/>
        <w:textAlignment w:val="baseline"/>
        <w:rPr>
          <w:b/>
          <w:sz w:val="24"/>
          <w:szCs w:val="24"/>
        </w:rPr>
      </w:pPr>
      <w:r w:rsidRPr="00B52AF1">
        <w:rPr>
          <w:b/>
          <w:sz w:val="24"/>
          <w:szCs w:val="24"/>
        </w:rPr>
        <w:t>Культура</w:t>
      </w:r>
      <w:bookmarkStart w:id="9" w:name="культ"/>
      <w:bookmarkEnd w:id="9"/>
    </w:p>
    <w:p w:rsidR="000E5757" w:rsidRPr="005319C7" w:rsidRDefault="000E5757" w:rsidP="009F2C67">
      <w:pPr>
        <w:tabs>
          <w:tab w:val="left" w:pos="7485"/>
        </w:tabs>
        <w:overflowPunct w:val="0"/>
        <w:autoSpaceDE w:val="0"/>
        <w:spacing w:line="276" w:lineRule="auto"/>
        <w:jc w:val="center"/>
        <w:textAlignment w:val="baseline"/>
        <w:rPr>
          <w:b/>
          <w:sz w:val="24"/>
          <w:szCs w:val="24"/>
          <w:highlight w:val="yellow"/>
        </w:rPr>
      </w:pPr>
    </w:p>
    <w:p w:rsidR="00726201" w:rsidRPr="0017481B" w:rsidRDefault="00726201" w:rsidP="00726201">
      <w:pPr>
        <w:pStyle w:val="aff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 состоянию на 01</w:t>
      </w:r>
      <w:r w:rsidRPr="0017481B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17481B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7481B">
        <w:rPr>
          <w:sz w:val="24"/>
          <w:szCs w:val="24"/>
        </w:rPr>
        <w:t xml:space="preserve"> г. в сфере культуры на территории городского округа Тольятти насчитывалось: </w:t>
      </w:r>
    </w:p>
    <w:p w:rsidR="00726201" w:rsidRPr="0017481B" w:rsidRDefault="00726201" w:rsidP="00726201">
      <w:pPr>
        <w:pStyle w:val="aff0"/>
        <w:spacing w:line="276" w:lineRule="auto"/>
        <w:rPr>
          <w:sz w:val="24"/>
          <w:szCs w:val="24"/>
        </w:rPr>
      </w:pPr>
      <w:r w:rsidRPr="0017481B">
        <w:rPr>
          <w:sz w:val="24"/>
          <w:szCs w:val="24"/>
        </w:rPr>
        <w:t xml:space="preserve">- 3 муниципальных учреждения культурно-досугового типа; </w:t>
      </w:r>
      <w:r>
        <w:rPr>
          <w:sz w:val="24"/>
          <w:szCs w:val="24"/>
        </w:rPr>
        <w:t>43</w:t>
      </w:r>
      <w:r w:rsidRPr="0017481B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ых</w:t>
      </w:r>
      <w:r w:rsidRPr="0017481B">
        <w:rPr>
          <w:sz w:val="24"/>
          <w:szCs w:val="24"/>
        </w:rPr>
        <w:t xml:space="preserve"> библиотек</w:t>
      </w:r>
      <w:r>
        <w:rPr>
          <w:sz w:val="24"/>
          <w:szCs w:val="24"/>
        </w:rPr>
        <w:t>и</w:t>
      </w:r>
      <w:r w:rsidRPr="0017481B">
        <w:rPr>
          <w:sz w:val="24"/>
          <w:szCs w:val="24"/>
        </w:rPr>
        <w:t>; 3 муниципальных музея; 4 муниципальных театра; 1 муниципальная концертная организация (Тольяттинская Филармония); 1</w:t>
      </w:r>
      <w:r>
        <w:rPr>
          <w:sz w:val="24"/>
          <w:szCs w:val="24"/>
        </w:rPr>
        <w:t>7</w:t>
      </w:r>
      <w:r w:rsidRPr="0017481B">
        <w:rPr>
          <w:sz w:val="24"/>
          <w:szCs w:val="24"/>
        </w:rPr>
        <w:t xml:space="preserve"> муниципальных образовательных учреждений дополнительного образования детей; 1 муниципальное учреждение </w:t>
      </w:r>
      <w:r>
        <w:rPr>
          <w:sz w:val="24"/>
          <w:szCs w:val="24"/>
        </w:rPr>
        <w:t xml:space="preserve"> </w:t>
      </w:r>
      <w:r w:rsidRPr="0017481B">
        <w:rPr>
          <w:sz w:val="24"/>
          <w:szCs w:val="24"/>
        </w:rPr>
        <w:t xml:space="preserve">высшего </w:t>
      </w:r>
      <w:r>
        <w:rPr>
          <w:sz w:val="24"/>
          <w:szCs w:val="24"/>
        </w:rPr>
        <w:t xml:space="preserve"> </w:t>
      </w:r>
      <w:r w:rsidRPr="0017481B">
        <w:rPr>
          <w:sz w:val="24"/>
          <w:szCs w:val="24"/>
        </w:rPr>
        <w:t xml:space="preserve">профессионального </w:t>
      </w:r>
      <w:r>
        <w:rPr>
          <w:sz w:val="24"/>
          <w:szCs w:val="24"/>
        </w:rPr>
        <w:t xml:space="preserve"> </w:t>
      </w:r>
      <w:r w:rsidRPr="0017481B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–</w:t>
      </w:r>
      <w:r w:rsidRPr="0017481B">
        <w:rPr>
          <w:sz w:val="24"/>
          <w:szCs w:val="24"/>
        </w:rPr>
        <w:t xml:space="preserve"> Тольяттинская</w:t>
      </w:r>
      <w:r>
        <w:rPr>
          <w:sz w:val="24"/>
          <w:szCs w:val="24"/>
        </w:rPr>
        <w:t xml:space="preserve">  консерватория</w:t>
      </w:r>
      <w:r w:rsidRPr="0017481B">
        <w:rPr>
          <w:sz w:val="24"/>
          <w:szCs w:val="24"/>
        </w:rPr>
        <w:t>, 1 парк (МАУК «Парковый комплекс истории техники имени К.С. Сахарова</w:t>
      </w:r>
      <w:r>
        <w:rPr>
          <w:sz w:val="24"/>
          <w:szCs w:val="24"/>
        </w:rPr>
        <w:t>»</w:t>
      </w:r>
      <w:r w:rsidRPr="0017481B">
        <w:rPr>
          <w:sz w:val="24"/>
          <w:szCs w:val="24"/>
        </w:rPr>
        <w:t>).</w:t>
      </w:r>
    </w:p>
    <w:p w:rsidR="00726201" w:rsidRPr="00726201" w:rsidRDefault="00726201" w:rsidP="00726201">
      <w:pPr>
        <w:pStyle w:val="af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201">
        <w:rPr>
          <w:rFonts w:ascii="Times New Roman" w:hAnsi="Times New Roman" w:cs="Times New Roman"/>
          <w:sz w:val="24"/>
          <w:szCs w:val="24"/>
        </w:rPr>
        <w:t xml:space="preserve">В результате реорганизации, завершенной 15.01.2018 г., библиотеки были объединены в 2 юридических лица – муниципальные учреждения культуры, включающие в себя 43 библиотеки, в том числе 29 общедоступных библиотек в составе МБУК «Библиотеки Тольятти» (в результате реорганизации МБУК «Тольяттинская библиотечная корпорация» путем присоединения МБУК «Библиотека Автограда»). В составе МБУК «Объединение детских библиотек»  14 детских библиотек. </w:t>
      </w:r>
    </w:p>
    <w:p w:rsidR="00726201" w:rsidRPr="00726201" w:rsidRDefault="00726201" w:rsidP="00726201">
      <w:pPr>
        <w:pStyle w:val="af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201">
        <w:rPr>
          <w:rFonts w:ascii="Times New Roman" w:hAnsi="Times New Roman" w:cs="Times New Roman"/>
          <w:sz w:val="24"/>
          <w:szCs w:val="24"/>
        </w:rPr>
        <w:t xml:space="preserve">С 01.01.2019 г. в рамках внесения изменений в устав и структуру МАУ «Дворец культуры, искусства и творчества» библиотека № 6 МБУК «Библиотеки Тольятти» (ул.Юбилейная,8) стала структурным подразделением МАУ «Культурный центр «Автоград» (новое наименование учреждения культурно-досугового типа). Библиотека МАУ «Культурный центр «Автоград» осуществляет профильную деятельность и предоставляет отчетность в качестве общедоступной библиотеки по форме федерального статистического наблюдения № 6-НК. В настоящее время в городском округе Тольятти количество библиотек составляет 43 единицы. </w:t>
      </w:r>
    </w:p>
    <w:p w:rsidR="00726201" w:rsidRPr="00785AB0" w:rsidRDefault="00726201" w:rsidP="00726201">
      <w:pPr>
        <w:spacing w:line="276" w:lineRule="auto"/>
        <w:ind w:firstLine="709"/>
        <w:jc w:val="both"/>
        <w:rPr>
          <w:sz w:val="24"/>
          <w:szCs w:val="24"/>
        </w:rPr>
      </w:pPr>
      <w:r w:rsidRPr="00785AB0">
        <w:rPr>
          <w:sz w:val="24"/>
          <w:szCs w:val="24"/>
        </w:rPr>
        <w:t xml:space="preserve">Таким образом, в 2018 году обеспеченность общедоступными библиотеками составила 0,61 учреждение на 10 тыс. населения. </w:t>
      </w:r>
    </w:p>
    <w:p w:rsidR="00726201" w:rsidRDefault="00726201" w:rsidP="00726201">
      <w:pPr>
        <w:spacing w:line="276" w:lineRule="auto"/>
        <w:ind w:firstLine="709"/>
        <w:jc w:val="both"/>
        <w:rPr>
          <w:sz w:val="24"/>
          <w:szCs w:val="24"/>
        </w:rPr>
      </w:pPr>
      <w:r w:rsidRPr="00785AB0">
        <w:rPr>
          <w:sz w:val="24"/>
          <w:szCs w:val="24"/>
        </w:rPr>
        <w:t>При сохранении количества общедоступных библиотек в прогнозном периоде в 2019 году ожидается сохранение обеспеченности общедоступными библиотеками на уровне  0,61 учреждение на 10 тыс. населения.</w:t>
      </w:r>
    </w:p>
    <w:p w:rsidR="00726201" w:rsidRPr="008D4878" w:rsidRDefault="00726201" w:rsidP="00726201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8D4878">
        <w:rPr>
          <w:sz w:val="24"/>
          <w:szCs w:val="24"/>
        </w:rPr>
        <w:t xml:space="preserve">оличество учреждений культурно-досугового типа (независимо от организационно-правовой формы, в том числе находящихся в частной собственности) </w:t>
      </w:r>
      <w:r>
        <w:rPr>
          <w:sz w:val="24"/>
          <w:szCs w:val="24"/>
        </w:rPr>
        <w:t>в</w:t>
      </w:r>
      <w:r w:rsidRPr="008D4878">
        <w:rPr>
          <w:sz w:val="24"/>
          <w:szCs w:val="24"/>
        </w:rPr>
        <w:t xml:space="preserve"> 2018 году составило – 5 единиц:  муниципальное бюджетное  учреждение (МБУК «ДЦ «Русич»), 2 муниципальных автономных учреждения  (МАУ КДЦ «Буревестник», МАУ «ДКИТ»), 2 организации иных форм собственности (ОАО ДК «Тольятти» им. Н.В. Абрамова, ЧУ ЦО «Тольяттиазот»). Обеспеченность учреждениями культурно-досугового типа составила 0,07 учреждений на 10 тыс. населения. </w:t>
      </w:r>
    </w:p>
    <w:p w:rsidR="00726201" w:rsidRPr="008D4878" w:rsidRDefault="00726201" w:rsidP="00726201">
      <w:pPr>
        <w:spacing w:line="276" w:lineRule="auto"/>
        <w:ind w:firstLine="709"/>
        <w:jc w:val="both"/>
        <w:rPr>
          <w:sz w:val="24"/>
          <w:szCs w:val="24"/>
        </w:rPr>
      </w:pPr>
      <w:r w:rsidRPr="008D4878">
        <w:rPr>
          <w:sz w:val="24"/>
          <w:szCs w:val="24"/>
        </w:rPr>
        <w:t>В 2019</w:t>
      </w:r>
      <w:r>
        <w:rPr>
          <w:sz w:val="24"/>
          <w:szCs w:val="24"/>
        </w:rPr>
        <w:t xml:space="preserve"> </w:t>
      </w:r>
      <w:r w:rsidRPr="008D4878">
        <w:rPr>
          <w:sz w:val="24"/>
          <w:szCs w:val="24"/>
        </w:rPr>
        <w:t xml:space="preserve">году ожидается сохранение обеспеченности учреждениями культурно-досугового типа на уровне  0,07 учреждений на 10 тыс. населения. </w:t>
      </w:r>
    </w:p>
    <w:p w:rsidR="00726201" w:rsidRPr="008D4878" w:rsidRDefault="00726201" w:rsidP="00726201">
      <w:pPr>
        <w:pStyle w:val="36"/>
        <w:spacing w:after="0" w:line="276" w:lineRule="auto"/>
        <w:ind w:left="0" w:firstLine="709"/>
        <w:jc w:val="both"/>
        <w:rPr>
          <w:szCs w:val="24"/>
        </w:rPr>
      </w:pPr>
      <w:r w:rsidRPr="008D4878">
        <w:rPr>
          <w:szCs w:val="24"/>
        </w:rPr>
        <w:t>Значение показателя «Количество посещений социокультурных мероприятий на территории муниципального образования» на 1000 человек определяется исходя из результатов деятельности всех видов учреждений культуры, с учетом платных и безвозмездных услуг.  По итогам 201</w:t>
      </w:r>
      <w:r>
        <w:rPr>
          <w:szCs w:val="24"/>
        </w:rPr>
        <w:t>8</w:t>
      </w:r>
      <w:r w:rsidRPr="008D4878">
        <w:rPr>
          <w:szCs w:val="24"/>
        </w:rPr>
        <w:t xml:space="preserve"> года данный  показатель составлял 2298  посещений на 1000 человек населения. В 2019 году по оценке (согласно плану достижения основных показателей деятельности учреждений культуры) количество посещений социокультурных мероприятий относительно 2018 года незначительно увеличится (на 0,4 %)   и составит 2299 посещений на 1000 чел. населения. </w:t>
      </w:r>
    </w:p>
    <w:p w:rsidR="00726201" w:rsidRDefault="00726201" w:rsidP="00726201">
      <w:pPr>
        <w:spacing w:line="276" w:lineRule="auto"/>
        <w:ind w:firstLine="709"/>
        <w:jc w:val="both"/>
        <w:rPr>
          <w:sz w:val="24"/>
          <w:szCs w:val="24"/>
          <w:highlight w:val="lightGray"/>
        </w:rPr>
      </w:pPr>
    </w:p>
    <w:p w:rsidR="00726201" w:rsidRDefault="00726201" w:rsidP="00726201">
      <w:pPr>
        <w:spacing w:line="276" w:lineRule="auto"/>
        <w:jc w:val="center"/>
        <w:rPr>
          <w:sz w:val="24"/>
          <w:szCs w:val="24"/>
        </w:rPr>
      </w:pPr>
      <w:r w:rsidRPr="00443EE9">
        <w:rPr>
          <w:sz w:val="24"/>
          <w:szCs w:val="24"/>
        </w:rPr>
        <w:t>Ожидаемое выполнение прогнозных показателей по разделу «Культура»</w:t>
      </w:r>
      <w:r>
        <w:rPr>
          <w:sz w:val="24"/>
          <w:szCs w:val="24"/>
        </w:rPr>
        <w:t xml:space="preserve"> </w:t>
      </w:r>
      <w:r w:rsidRPr="00443EE9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Pr="00443EE9">
        <w:rPr>
          <w:sz w:val="24"/>
          <w:szCs w:val="24"/>
        </w:rPr>
        <w:t xml:space="preserve"> год</w:t>
      </w:r>
    </w:p>
    <w:p w:rsidR="00860E97" w:rsidRDefault="00860E97" w:rsidP="00726201">
      <w:pPr>
        <w:spacing w:line="276" w:lineRule="auto"/>
        <w:jc w:val="center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1418"/>
        <w:gridCol w:w="1417"/>
        <w:gridCol w:w="1276"/>
      </w:tblGrid>
      <w:tr w:rsidR="00726201" w:rsidRPr="00604938" w:rsidTr="00726201">
        <w:trPr>
          <w:trHeight w:val="195"/>
          <w:tblHeader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201" w:rsidRPr="00443EE9" w:rsidRDefault="00726201" w:rsidP="00726201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201" w:rsidRPr="00443EE9" w:rsidRDefault="00726201" w:rsidP="00726201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201" w:rsidRPr="00443EE9" w:rsidRDefault="00726201" w:rsidP="00726201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Прогноз на 201</w:t>
            </w:r>
            <w:r>
              <w:rPr>
                <w:sz w:val="24"/>
                <w:szCs w:val="24"/>
              </w:rPr>
              <w:t>9</w:t>
            </w:r>
            <w:r w:rsidRPr="00443E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01" w:rsidRPr="00443EE9" w:rsidRDefault="00726201" w:rsidP="00726201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443EE9">
              <w:rPr>
                <w:sz w:val="24"/>
                <w:szCs w:val="24"/>
              </w:rPr>
              <w:t xml:space="preserve"> год (оценка)</w:t>
            </w:r>
          </w:p>
        </w:tc>
      </w:tr>
      <w:tr w:rsidR="00726201" w:rsidRPr="00604938" w:rsidTr="00726201">
        <w:trPr>
          <w:cantSplit/>
          <w:trHeight w:val="19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201" w:rsidRPr="00443EE9" w:rsidRDefault="00726201" w:rsidP="007262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201" w:rsidRPr="00443EE9" w:rsidRDefault="00726201" w:rsidP="0072620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201" w:rsidRPr="00443EE9" w:rsidRDefault="00726201" w:rsidP="007262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1 вариант (</w:t>
            </w:r>
            <w:r>
              <w:rPr>
                <w:sz w:val="24"/>
                <w:szCs w:val="24"/>
              </w:rPr>
              <w:t xml:space="preserve">консерва-тивный, </w:t>
            </w:r>
            <w:r w:rsidRPr="00443EE9">
              <w:rPr>
                <w:sz w:val="24"/>
                <w:szCs w:val="24"/>
              </w:rPr>
              <w:t>базовый)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201" w:rsidRPr="00443EE9" w:rsidRDefault="00726201" w:rsidP="007262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2 вариант</w:t>
            </w:r>
          </w:p>
          <w:p w:rsidR="00726201" w:rsidRPr="00443EE9" w:rsidRDefault="00726201" w:rsidP="0072620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(целевой)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01" w:rsidRPr="00443EE9" w:rsidRDefault="00726201" w:rsidP="00726201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26201" w:rsidRPr="00604938" w:rsidTr="00726201">
        <w:trPr>
          <w:trHeight w:val="74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201" w:rsidRDefault="00726201" w:rsidP="00726201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Обеспеченность:</w:t>
            </w:r>
          </w:p>
          <w:p w:rsidR="00726201" w:rsidRDefault="00726201" w:rsidP="00726201">
            <w:pPr>
              <w:rPr>
                <w:sz w:val="24"/>
                <w:szCs w:val="24"/>
              </w:rPr>
            </w:pPr>
          </w:p>
          <w:p w:rsidR="00726201" w:rsidRDefault="00726201" w:rsidP="00726201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Общедоступными библиотеками</w:t>
            </w:r>
          </w:p>
          <w:p w:rsidR="00860E97" w:rsidRDefault="00860E97" w:rsidP="00726201">
            <w:pPr>
              <w:rPr>
                <w:sz w:val="24"/>
                <w:szCs w:val="24"/>
              </w:rPr>
            </w:pPr>
          </w:p>
          <w:p w:rsidR="00726201" w:rsidRPr="00443EE9" w:rsidRDefault="00726201" w:rsidP="00726201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Учреждениями культурно-досугового типа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201" w:rsidRDefault="00726201" w:rsidP="00726201">
            <w:pPr>
              <w:jc w:val="center"/>
              <w:rPr>
                <w:sz w:val="24"/>
                <w:szCs w:val="24"/>
              </w:rPr>
            </w:pPr>
          </w:p>
          <w:p w:rsidR="00726201" w:rsidRDefault="00726201" w:rsidP="00726201">
            <w:pPr>
              <w:jc w:val="center"/>
              <w:rPr>
                <w:sz w:val="24"/>
                <w:szCs w:val="24"/>
              </w:rPr>
            </w:pPr>
          </w:p>
          <w:p w:rsidR="00860E97" w:rsidRDefault="00860E97" w:rsidP="00726201">
            <w:pPr>
              <w:jc w:val="center"/>
              <w:rPr>
                <w:sz w:val="24"/>
                <w:szCs w:val="24"/>
              </w:rPr>
            </w:pPr>
          </w:p>
          <w:p w:rsidR="00726201" w:rsidRDefault="00726201" w:rsidP="00726201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учреждений на 10 тыс. населения</w:t>
            </w:r>
          </w:p>
          <w:p w:rsidR="00726201" w:rsidRPr="00443EE9" w:rsidRDefault="00726201" w:rsidP="0072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201" w:rsidRDefault="00726201" w:rsidP="00726201">
            <w:pPr>
              <w:jc w:val="center"/>
              <w:rPr>
                <w:sz w:val="24"/>
                <w:szCs w:val="24"/>
              </w:rPr>
            </w:pPr>
          </w:p>
          <w:p w:rsidR="00726201" w:rsidRDefault="00726201" w:rsidP="00726201">
            <w:pPr>
              <w:jc w:val="center"/>
              <w:rPr>
                <w:sz w:val="24"/>
                <w:szCs w:val="24"/>
              </w:rPr>
            </w:pPr>
          </w:p>
          <w:p w:rsidR="00860E97" w:rsidRDefault="00860E97" w:rsidP="00726201">
            <w:pPr>
              <w:jc w:val="center"/>
              <w:rPr>
                <w:sz w:val="24"/>
                <w:szCs w:val="24"/>
              </w:rPr>
            </w:pPr>
          </w:p>
          <w:p w:rsidR="00726201" w:rsidRDefault="00726201" w:rsidP="00726201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0,61</w:t>
            </w:r>
          </w:p>
          <w:p w:rsidR="00726201" w:rsidRDefault="00726201" w:rsidP="00726201">
            <w:pPr>
              <w:jc w:val="center"/>
              <w:rPr>
                <w:sz w:val="24"/>
                <w:szCs w:val="24"/>
              </w:rPr>
            </w:pPr>
          </w:p>
          <w:p w:rsidR="00726201" w:rsidRPr="00443EE9" w:rsidRDefault="00726201" w:rsidP="0072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201" w:rsidRDefault="00726201" w:rsidP="00726201">
            <w:pPr>
              <w:jc w:val="center"/>
              <w:rPr>
                <w:sz w:val="24"/>
                <w:szCs w:val="24"/>
              </w:rPr>
            </w:pPr>
          </w:p>
          <w:p w:rsidR="00726201" w:rsidRDefault="00726201" w:rsidP="00726201">
            <w:pPr>
              <w:jc w:val="center"/>
              <w:rPr>
                <w:sz w:val="24"/>
                <w:szCs w:val="24"/>
              </w:rPr>
            </w:pPr>
          </w:p>
          <w:p w:rsidR="00860E97" w:rsidRDefault="00860E97" w:rsidP="00726201">
            <w:pPr>
              <w:jc w:val="center"/>
              <w:rPr>
                <w:sz w:val="24"/>
                <w:szCs w:val="24"/>
              </w:rPr>
            </w:pPr>
          </w:p>
          <w:p w:rsidR="00726201" w:rsidRDefault="00726201" w:rsidP="00726201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0,61</w:t>
            </w:r>
          </w:p>
          <w:p w:rsidR="00726201" w:rsidRDefault="00726201" w:rsidP="00726201">
            <w:pPr>
              <w:jc w:val="center"/>
              <w:rPr>
                <w:sz w:val="24"/>
                <w:szCs w:val="24"/>
              </w:rPr>
            </w:pPr>
          </w:p>
          <w:p w:rsidR="00726201" w:rsidRPr="00443EE9" w:rsidRDefault="00726201" w:rsidP="0072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01" w:rsidRDefault="00726201" w:rsidP="00726201">
            <w:pPr>
              <w:jc w:val="center"/>
              <w:rPr>
                <w:sz w:val="24"/>
                <w:szCs w:val="24"/>
              </w:rPr>
            </w:pPr>
          </w:p>
          <w:p w:rsidR="00726201" w:rsidRDefault="00726201" w:rsidP="00726201">
            <w:pPr>
              <w:jc w:val="center"/>
              <w:rPr>
                <w:sz w:val="24"/>
                <w:szCs w:val="24"/>
              </w:rPr>
            </w:pPr>
          </w:p>
          <w:p w:rsidR="00860E97" w:rsidRDefault="00860E97" w:rsidP="00726201">
            <w:pPr>
              <w:jc w:val="center"/>
              <w:rPr>
                <w:sz w:val="24"/>
                <w:szCs w:val="24"/>
              </w:rPr>
            </w:pPr>
          </w:p>
          <w:p w:rsidR="00726201" w:rsidRDefault="00726201" w:rsidP="00726201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0,61</w:t>
            </w:r>
          </w:p>
          <w:p w:rsidR="00726201" w:rsidRDefault="00726201" w:rsidP="00726201">
            <w:pPr>
              <w:jc w:val="center"/>
              <w:rPr>
                <w:sz w:val="24"/>
                <w:szCs w:val="24"/>
              </w:rPr>
            </w:pPr>
          </w:p>
          <w:p w:rsidR="00726201" w:rsidRPr="00443EE9" w:rsidRDefault="00726201" w:rsidP="0072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726201" w:rsidRPr="00604938" w:rsidTr="0072620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201" w:rsidRPr="00443EE9" w:rsidRDefault="00726201" w:rsidP="00726201">
            <w:pPr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Количество посещений социокультурных мероприятий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6201" w:rsidRDefault="00726201" w:rsidP="00726201">
            <w:pPr>
              <w:jc w:val="center"/>
              <w:rPr>
                <w:sz w:val="24"/>
                <w:szCs w:val="24"/>
              </w:rPr>
            </w:pPr>
          </w:p>
          <w:p w:rsidR="00726201" w:rsidRPr="00443EE9" w:rsidRDefault="00726201" w:rsidP="00726201">
            <w:pPr>
              <w:jc w:val="center"/>
              <w:rPr>
                <w:sz w:val="24"/>
                <w:szCs w:val="24"/>
              </w:rPr>
            </w:pPr>
            <w:r w:rsidRPr="00443EE9">
              <w:rPr>
                <w:sz w:val="24"/>
                <w:szCs w:val="24"/>
              </w:rPr>
              <w:t>посещений на 1000 чел.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201" w:rsidRPr="00443EE9" w:rsidRDefault="00726201" w:rsidP="0072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6201" w:rsidRPr="00443EE9" w:rsidRDefault="00726201" w:rsidP="0072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01" w:rsidRPr="00443EE9" w:rsidRDefault="00726201" w:rsidP="0072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2299</w:t>
            </w:r>
          </w:p>
        </w:tc>
      </w:tr>
    </w:tbl>
    <w:p w:rsidR="00726201" w:rsidRDefault="00726201" w:rsidP="00726201">
      <w:pPr>
        <w:spacing w:line="276" w:lineRule="auto"/>
        <w:ind w:firstLine="709"/>
        <w:jc w:val="both"/>
        <w:rPr>
          <w:sz w:val="24"/>
          <w:szCs w:val="24"/>
        </w:rPr>
      </w:pPr>
    </w:p>
    <w:p w:rsidR="00726201" w:rsidRPr="000E7629" w:rsidRDefault="00726201" w:rsidP="00726201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  <w:r w:rsidRPr="000E7629">
        <w:rPr>
          <w:sz w:val="24"/>
          <w:szCs w:val="24"/>
        </w:rPr>
        <w:t xml:space="preserve">В рамках муниципальной программы «Культура Тольятти на 2019-2023 годы», утвержденной постановлением администрации городского округа Тольятти от 21.09.2018 № 2799-п/1, на капитальный ремонт зданий и материально-техническое оснащение объектов культуры в 2019 году запланирована сумма финансирования в размере </w:t>
      </w:r>
      <w:r w:rsidRPr="00726201">
        <w:rPr>
          <w:sz w:val="24"/>
          <w:szCs w:val="24"/>
        </w:rPr>
        <w:t xml:space="preserve">143 892,0  </w:t>
      </w:r>
      <w:r w:rsidRPr="000E7629">
        <w:rPr>
          <w:sz w:val="24"/>
          <w:szCs w:val="24"/>
        </w:rPr>
        <w:t>тыс. руб.  из вышестоящих бюджетов с учетом софинансирования областных субсидий и финансирования ряда мероприятий из бюджета  городского округа Тольятти:</w:t>
      </w:r>
    </w:p>
    <w:p w:rsidR="00726201" w:rsidRPr="000E7629" w:rsidRDefault="00726201" w:rsidP="00726201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  <w:r w:rsidRPr="000E7629">
        <w:rPr>
          <w:sz w:val="24"/>
          <w:szCs w:val="24"/>
        </w:rPr>
        <w:t>- по национальному проекту «Культура» на осуществление капитального ремонта МБУИиК «Тольяттинская филармония», МБУК «Тольяттинский краеведческий музей»,   МБУК «Библиотеки Тольятти», а также на оснащение специализированным оборудованием МБУК «Библиотеки Тольятти» для создания модельной библиотеки и МБУИиК «Тольяттинская филармония» для виртуального концертного зала (</w:t>
      </w:r>
      <w:r w:rsidRPr="00726201">
        <w:rPr>
          <w:sz w:val="24"/>
          <w:szCs w:val="24"/>
        </w:rPr>
        <w:t xml:space="preserve">52 546,1 </w:t>
      </w:r>
      <w:r w:rsidRPr="000E7629">
        <w:rPr>
          <w:sz w:val="24"/>
          <w:szCs w:val="24"/>
        </w:rPr>
        <w:t>тыс. руб.);</w:t>
      </w:r>
    </w:p>
    <w:p w:rsidR="00726201" w:rsidRPr="00726201" w:rsidRDefault="00726201" w:rsidP="00726201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  <w:r w:rsidRPr="00F95706">
        <w:rPr>
          <w:sz w:val="24"/>
          <w:szCs w:val="24"/>
        </w:rPr>
        <w:t xml:space="preserve">- на капитальный ремонт образовательных учреждений ШИ «Форте», ШИ им. Свиридова,  ХШ  им. Шагала,   Детского  Дома  культуры, </w:t>
      </w:r>
      <w:r w:rsidRPr="00726201">
        <w:rPr>
          <w:sz w:val="24"/>
          <w:szCs w:val="24"/>
        </w:rPr>
        <w:t>ШИ 1  (4 114,0 тыс. руб.),</w:t>
      </w:r>
    </w:p>
    <w:p w:rsidR="00726201" w:rsidRPr="00726201" w:rsidRDefault="00726201" w:rsidP="00726201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  <w:r w:rsidRPr="00726201">
        <w:rPr>
          <w:sz w:val="24"/>
          <w:szCs w:val="24"/>
        </w:rPr>
        <w:t>- на установку пандуса к зданию ДЦ «Русич», завершение ремонтных работ в  ТЮЗ</w:t>
      </w:r>
      <w:r w:rsidRPr="000E7629">
        <w:rPr>
          <w:sz w:val="24"/>
          <w:szCs w:val="24"/>
        </w:rPr>
        <w:t xml:space="preserve"> </w:t>
      </w:r>
      <w:r w:rsidRPr="00726201">
        <w:rPr>
          <w:sz w:val="24"/>
          <w:szCs w:val="24"/>
        </w:rPr>
        <w:t>«Дилижанс» и МБОУВО «Тольяттинская консерватория» (7 855,3тыс. руб.);</w:t>
      </w:r>
    </w:p>
    <w:p w:rsidR="00726201" w:rsidRPr="00726201" w:rsidRDefault="00726201" w:rsidP="00726201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  <w:r w:rsidRPr="000E7629">
        <w:rPr>
          <w:sz w:val="24"/>
          <w:szCs w:val="24"/>
        </w:rPr>
        <w:t xml:space="preserve">- на оснащение специализированным оборудованием и материалами, а также на премьерные постановки в МБУИ «Молодежный драматический театр», МБУИ «Тольяттинский театр кукол», ТЮЗ «Дилижанс» в рамках проекта «Театры – детям» </w:t>
      </w:r>
      <w:r w:rsidRPr="00726201">
        <w:rPr>
          <w:sz w:val="24"/>
          <w:szCs w:val="24"/>
        </w:rPr>
        <w:t xml:space="preserve">(13 539,7 тыс. руб.); </w:t>
      </w:r>
    </w:p>
    <w:p w:rsidR="00726201" w:rsidRPr="000E7629" w:rsidRDefault="00726201" w:rsidP="00726201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  <w:r w:rsidRPr="000E7629">
        <w:rPr>
          <w:sz w:val="24"/>
          <w:szCs w:val="24"/>
        </w:rPr>
        <w:t xml:space="preserve">- на модернизацию оборудования и автоматизацию технологических процессов в МБУК «Библиотеки Тольятти», МБУК «Объединение детских библиотек» (242,0 тыс. руб.); </w:t>
      </w:r>
    </w:p>
    <w:p w:rsidR="00726201" w:rsidRPr="000E7629" w:rsidRDefault="00726201" w:rsidP="00726201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  <w:r w:rsidRPr="000E7629">
        <w:rPr>
          <w:sz w:val="24"/>
          <w:szCs w:val="24"/>
        </w:rPr>
        <w:t>- на приобретение музыкальных инструментов для Тольяттинской консерватории (5 365,4 тыс. руб.);</w:t>
      </w:r>
    </w:p>
    <w:p w:rsidR="00726201" w:rsidRPr="000E7629" w:rsidRDefault="00726201" w:rsidP="00726201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  <w:r w:rsidRPr="000E7629">
        <w:rPr>
          <w:sz w:val="24"/>
          <w:szCs w:val="24"/>
        </w:rPr>
        <w:t>- на приобретение оборудования и программного обеспечения для ГМК «Наследие» (257,0 тыс. руб.);</w:t>
      </w:r>
    </w:p>
    <w:p w:rsidR="00726201" w:rsidRPr="000E7629" w:rsidRDefault="00726201" w:rsidP="00726201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  <w:r w:rsidRPr="000E7629">
        <w:rPr>
          <w:sz w:val="24"/>
          <w:szCs w:val="24"/>
        </w:rPr>
        <w:t xml:space="preserve">- на замену системы вентиляции и кондиционирования в Культурном центре «Автоград» (59 972,5 тыс. руб.).    </w:t>
      </w:r>
    </w:p>
    <w:p w:rsidR="00726201" w:rsidRPr="000E7629" w:rsidRDefault="00726201" w:rsidP="00726201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  <w:r w:rsidRPr="000E7629">
        <w:rPr>
          <w:sz w:val="24"/>
          <w:szCs w:val="24"/>
        </w:rPr>
        <w:lastRenderedPageBreak/>
        <w:t>В 2019 году департаментом культуры администрации из федерального бюджета  получена финансовая поддержка  двух значимых проектов:</w:t>
      </w:r>
    </w:p>
    <w:p w:rsidR="00726201" w:rsidRPr="000E7629" w:rsidRDefault="00726201" w:rsidP="00726201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  <w:r w:rsidRPr="000E7629">
        <w:rPr>
          <w:sz w:val="24"/>
          <w:szCs w:val="24"/>
        </w:rPr>
        <w:t>- создания виртуального камерного зала в МБУИиК «Тольяттинская филармония»;</w:t>
      </w:r>
    </w:p>
    <w:p w:rsidR="00726201" w:rsidRPr="000E7629" w:rsidRDefault="00726201" w:rsidP="00726201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  <w:r w:rsidRPr="000E7629">
        <w:rPr>
          <w:sz w:val="24"/>
          <w:szCs w:val="24"/>
        </w:rPr>
        <w:t>- модельной муниципальной библиотеки на базе библиотеки № 1 МБУК «Библиотеки Тольятти» (ул. Голосова, 20).</w:t>
      </w:r>
    </w:p>
    <w:p w:rsidR="00A65FD4" w:rsidRDefault="00726201" w:rsidP="00726201">
      <w:pPr>
        <w:pStyle w:val="2a"/>
        <w:spacing w:after="0" w:line="276" w:lineRule="auto"/>
        <w:ind w:firstLine="709"/>
        <w:jc w:val="both"/>
        <w:rPr>
          <w:sz w:val="24"/>
          <w:szCs w:val="24"/>
        </w:rPr>
      </w:pPr>
      <w:r w:rsidRPr="00145629">
        <w:rPr>
          <w:sz w:val="24"/>
          <w:szCs w:val="24"/>
        </w:rPr>
        <w:t>Кадровая обеспеченность отрасли культуры достигается за счет совершенствования системы оплаты труда (Положение об оплате труда работников муниципальных учреждений, находящихся в ведомственном подчинении департамента культуры администрации городского округа Тольятти, утвержденное постановлением администрации городского округа Тольятти от 14.06.2017 № 1968-п/1), полного перехода на эффективный контракт, мер по сохранению соотношения заработной платы  работников учреждений культуры, достигнутого  в 2018 году в соответствии с Указом а Президента РФ от 07.05.2012 № 597 «О мероприятиях по реализации государственной социальной политики»,  в соответствии со стратегическими документами, действующими муниципальными и государственными программами.</w:t>
      </w:r>
    </w:p>
    <w:p w:rsidR="00726201" w:rsidRDefault="00726201" w:rsidP="00726201">
      <w:pPr>
        <w:pStyle w:val="2a"/>
        <w:spacing w:after="0" w:line="276" w:lineRule="auto"/>
        <w:ind w:firstLine="709"/>
        <w:jc w:val="both"/>
        <w:rPr>
          <w:sz w:val="24"/>
          <w:szCs w:val="24"/>
          <w:highlight w:val="yellow"/>
        </w:rPr>
      </w:pPr>
    </w:p>
    <w:p w:rsidR="0055091F" w:rsidRPr="001F73F2" w:rsidRDefault="0055091F" w:rsidP="0055091F">
      <w:pPr>
        <w:pStyle w:val="2a"/>
        <w:spacing w:after="0" w:line="276" w:lineRule="auto"/>
        <w:jc w:val="center"/>
        <w:rPr>
          <w:b/>
          <w:bCs/>
          <w:sz w:val="24"/>
          <w:szCs w:val="24"/>
        </w:rPr>
      </w:pPr>
      <w:r w:rsidRPr="001F73F2">
        <w:rPr>
          <w:b/>
          <w:bCs/>
          <w:sz w:val="24"/>
          <w:szCs w:val="24"/>
        </w:rPr>
        <w:t>Физическая культура и спорт</w:t>
      </w:r>
    </w:p>
    <w:p w:rsidR="0055091F" w:rsidRPr="001F73F2" w:rsidRDefault="0055091F" w:rsidP="0055091F">
      <w:pPr>
        <w:pStyle w:val="2a"/>
        <w:spacing w:after="0" w:line="276" w:lineRule="auto"/>
        <w:jc w:val="center"/>
        <w:rPr>
          <w:b/>
          <w:bCs/>
          <w:sz w:val="24"/>
          <w:szCs w:val="24"/>
        </w:rPr>
      </w:pPr>
    </w:p>
    <w:p w:rsidR="0055091F" w:rsidRPr="00E450E6" w:rsidRDefault="0055091F" w:rsidP="0055091F">
      <w:pPr>
        <w:pStyle w:val="af0"/>
        <w:tabs>
          <w:tab w:val="left" w:pos="7200"/>
        </w:tabs>
        <w:spacing w:line="276" w:lineRule="auto"/>
        <w:ind w:firstLine="709"/>
        <w:rPr>
          <w:rFonts w:eastAsia="Calibri"/>
          <w:szCs w:val="24"/>
        </w:rPr>
      </w:pPr>
      <w:r w:rsidRPr="00E450E6">
        <w:rPr>
          <w:rFonts w:eastAsia="Calibri"/>
          <w:szCs w:val="24"/>
        </w:rPr>
        <w:t xml:space="preserve">По состоянию на 01.07.2019 на территории городского округа Тольятти действует 816 спортивных сооружений, из них 662 - муниципальные. </w:t>
      </w:r>
    </w:p>
    <w:p w:rsidR="0055091F" w:rsidRPr="00E450E6" w:rsidRDefault="0055091F" w:rsidP="0055091F">
      <w:pPr>
        <w:pStyle w:val="af0"/>
        <w:tabs>
          <w:tab w:val="left" w:pos="7200"/>
        </w:tabs>
        <w:spacing w:line="276" w:lineRule="auto"/>
        <w:ind w:firstLine="709"/>
        <w:rPr>
          <w:rFonts w:eastAsia="Calibri"/>
          <w:szCs w:val="24"/>
        </w:rPr>
      </w:pPr>
      <w:r w:rsidRPr="00E450E6">
        <w:rPr>
          <w:rFonts w:eastAsia="Calibri"/>
          <w:szCs w:val="24"/>
        </w:rPr>
        <w:t>На территории Тольятти спортивную работу проводят:</w:t>
      </w:r>
    </w:p>
    <w:p w:rsidR="0055091F" w:rsidRPr="00E450E6" w:rsidRDefault="0055091F" w:rsidP="0055091F">
      <w:pPr>
        <w:pStyle w:val="af0"/>
        <w:tabs>
          <w:tab w:val="left" w:pos="7200"/>
        </w:tabs>
        <w:spacing w:line="276" w:lineRule="auto"/>
        <w:ind w:firstLine="709"/>
        <w:rPr>
          <w:rFonts w:eastAsia="Calibri"/>
          <w:szCs w:val="24"/>
        </w:rPr>
      </w:pPr>
      <w:r w:rsidRPr="00E450E6">
        <w:rPr>
          <w:rFonts w:eastAsia="Calibri"/>
          <w:szCs w:val="24"/>
        </w:rPr>
        <w:t>- 14 муниципальных бюджетных учреждений дополнительного образования (комплексных) специализированных детско-юношеских спортивных школ олимпийского резерва с общим количеством обучающихся – 14 951 чел</w:t>
      </w:r>
      <w:r w:rsidR="00C95BA9">
        <w:rPr>
          <w:rFonts w:eastAsia="Calibri"/>
          <w:szCs w:val="24"/>
        </w:rPr>
        <w:t>овек</w:t>
      </w:r>
      <w:r w:rsidRPr="00E450E6">
        <w:rPr>
          <w:rFonts w:eastAsia="Calibri"/>
          <w:szCs w:val="24"/>
        </w:rPr>
        <w:t>. По сравнению с 2018 год</w:t>
      </w:r>
      <w:r>
        <w:rPr>
          <w:rFonts w:eastAsia="Calibri"/>
          <w:szCs w:val="24"/>
        </w:rPr>
        <w:t>ом</w:t>
      </w:r>
      <w:r w:rsidRPr="00E450E6">
        <w:rPr>
          <w:rFonts w:eastAsia="Calibri"/>
          <w:szCs w:val="24"/>
        </w:rPr>
        <w:t xml:space="preserve"> изменений по количеству школ и количеству учащихся не произошло; </w:t>
      </w:r>
    </w:p>
    <w:p w:rsidR="0055091F" w:rsidRPr="00E450E6" w:rsidRDefault="0055091F" w:rsidP="0055091F">
      <w:pPr>
        <w:pStyle w:val="af0"/>
        <w:tabs>
          <w:tab w:val="left" w:pos="7200"/>
        </w:tabs>
        <w:spacing w:line="276" w:lineRule="auto"/>
        <w:ind w:firstLine="709"/>
        <w:rPr>
          <w:rFonts w:eastAsia="Calibri"/>
          <w:szCs w:val="24"/>
        </w:rPr>
      </w:pPr>
      <w:r w:rsidRPr="00E450E6">
        <w:rPr>
          <w:rFonts w:eastAsia="Calibri"/>
          <w:szCs w:val="24"/>
        </w:rPr>
        <w:t>- 179 клубов по месту жительства, что больше чем в 2018 год</w:t>
      </w:r>
      <w:r>
        <w:rPr>
          <w:rFonts w:eastAsia="Calibri"/>
          <w:szCs w:val="24"/>
        </w:rPr>
        <w:t>у</w:t>
      </w:r>
      <w:r w:rsidR="00D0645A">
        <w:rPr>
          <w:rFonts w:eastAsia="Calibri"/>
          <w:szCs w:val="24"/>
        </w:rPr>
        <w:t xml:space="preserve"> на 4,7</w:t>
      </w:r>
      <w:r w:rsidRPr="00E450E6">
        <w:rPr>
          <w:rFonts w:eastAsia="Calibri"/>
          <w:szCs w:val="24"/>
        </w:rPr>
        <w:t xml:space="preserve">%, количество </w:t>
      </w:r>
      <w:r>
        <w:rPr>
          <w:rFonts w:eastAsia="Calibri"/>
          <w:szCs w:val="24"/>
        </w:rPr>
        <w:t>членов клубов увеличилось на 13,0</w:t>
      </w:r>
      <w:r w:rsidRPr="00E450E6">
        <w:rPr>
          <w:rFonts w:eastAsia="Calibri"/>
          <w:szCs w:val="24"/>
        </w:rPr>
        <w:t>% и составило 68,1 тыс. чел</w:t>
      </w:r>
      <w:r w:rsidR="00C95BA9">
        <w:rPr>
          <w:rFonts w:eastAsia="Calibri"/>
          <w:szCs w:val="24"/>
        </w:rPr>
        <w:t>овек</w:t>
      </w:r>
      <w:r w:rsidRPr="00E450E6">
        <w:rPr>
          <w:rFonts w:eastAsia="Calibri"/>
          <w:szCs w:val="24"/>
        </w:rPr>
        <w:t>.</w:t>
      </w:r>
    </w:p>
    <w:p w:rsidR="0055091F" w:rsidRPr="00E450E6" w:rsidRDefault="0055091F" w:rsidP="0055091F">
      <w:pPr>
        <w:pStyle w:val="af0"/>
        <w:tabs>
          <w:tab w:val="left" w:pos="7200"/>
        </w:tabs>
        <w:spacing w:line="276" w:lineRule="auto"/>
        <w:ind w:firstLine="709"/>
        <w:rPr>
          <w:rFonts w:eastAsia="Calibri"/>
          <w:szCs w:val="24"/>
        </w:rPr>
      </w:pPr>
      <w:r w:rsidRPr="00E450E6">
        <w:rPr>
          <w:rFonts w:eastAsia="Calibri"/>
          <w:szCs w:val="24"/>
        </w:rPr>
        <w:t>- 456 коллективов физической культуры, что на 6,5</w:t>
      </w:r>
      <w:r>
        <w:rPr>
          <w:rFonts w:eastAsia="Calibri"/>
          <w:szCs w:val="24"/>
        </w:rPr>
        <w:t>% (28 единиц</w:t>
      </w:r>
      <w:r w:rsidRPr="00E450E6">
        <w:rPr>
          <w:rFonts w:eastAsia="Calibri"/>
          <w:szCs w:val="24"/>
        </w:rPr>
        <w:t xml:space="preserve">) больше, чем  в </w:t>
      </w:r>
      <w:r>
        <w:rPr>
          <w:rFonts w:eastAsia="Calibri"/>
          <w:szCs w:val="24"/>
        </w:rPr>
        <w:t>2018 году</w:t>
      </w:r>
      <w:r w:rsidRPr="00E450E6">
        <w:rPr>
          <w:rFonts w:eastAsia="Calibri"/>
          <w:szCs w:val="24"/>
        </w:rPr>
        <w:t>. Рост данного показателя связан с изменением методики статистической отчетности – дополнительно учитываются фитнес клубы, клубы, федерации.</w:t>
      </w:r>
    </w:p>
    <w:p w:rsidR="0055091F" w:rsidRDefault="0055091F" w:rsidP="0055091F">
      <w:pPr>
        <w:pStyle w:val="af0"/>
        <w:tabs>
          <w:tab w:val="left" w:pos="7200"/>
        </w:tabs>
        <w:spacing w:line="276" w:lineRule="auto"/>
        <w:ind w:firstLine="709"/>
        <w:rPr>
          <w:rFonts w:eastAsia="Calibri"/>
          <w:szCs w:val="24"/>
        </w:rPr>
      </w:pPr>
      <w:r w:rsidRPr="00E450E6">
        <w:rPr>
          <w:rFonts w:eastAsia="Calibri"/>
          <w:szCs w:val="24"/>
        </w:rPr>
        <w:t xml:space="preserve">В </w:t>
      </w:r>
      <w:r>
        <w:rPr>
          <w:rFonts w:eastAsia="Calibri"/>
          <w:szCs w:val="24"/>
        </w:rPr>
        <w:t>1 полугодии 2019 года</w:t>
      </w:r>
      <w:r w:rsidRPr="00E450E6">
        <w:rPr>
          <w:rFonts w:eastAsia="Calibri"/>
          <w:szCs w:val="24"/>
        </w:rPr>
        <w:t xml:space="preserve"> в городском округе Тольятти было проведено 171 официальных физкультурно-спортивных мероприятий (на 3,6% выше в 1 полугодии 2018 года), в которых приняли участие 28,3 тыс. чел</w:t>
      </w:r>
      <w:r w:rsidR="00C95BA9">
        <w:rPr>
          <w:rFonts w:eastAsia="Calibri"/>
          <w:szCs w:val="24"/>
        </w:rPr>
        <w:t>овек</w:t>
      </w:r>
      <w:r w:rsidRPr="00E450E6">
        <w:rPr>
          <w:rFonts w:eastAsia="Calibri"/>
          <w:szCs w:val="24"/>
        </w:rPr>
        <w:t xml:space="preserve"> - Фестиваль ГТО среди трудовых коллективов и другие.</w:t>
      </w:r>
    </w:p>
    <w:p w:rsidR="0055091F" w:rsidRPr="00F13DC5" w:rsidRDefault="0055091F" w:rsidP="0055091F">
      <w:pPr>
        <w:spacing w:line="276" w:lineRule="auto"/>
        <w:ind w:firstLine="709"/>
        <w:jc w:val="both"/>
        <w:rPr>
          <w:sz w:val="24"/>
          <w:szCs w:val="24"/>
        </w:rPr>
      </w:pPr>
      <w:r w:rsidRPr="00F13DC5">
        <w:rPr>
          <w:sz w:val="24"/>
          <w:szCs w:val="24"/>
        </w:rPr>
        <w:t xml:space="preserve">Большое внимание уделяется развитию Спартакиадного движения среди всех возрастных групп населения – дошкольников, школьников, студентов, трудящихся, инвалидов, ветеранов спорта, наработаны и бережно сохраняются многолетние спортивные традиции в проведении соревнований (легкоатлетическая эстафета, посвященная Дню Победы проводится более 50 лет, тольяттинский лыжный марафон – более 20), а в последнее десятилетие получили развитие новые спортивные традиции: детский фестиваль гандбола (более 10 лет), фестиваль «Жигули-Баскет», соревнования по месту жительства «Семейные старты», «Большая игра», «Зимний мяч», «Мяч над сеткой», фестиваль стритбола, фестиваль по фитнес-аэробике «Мир движения и красоты» и детско-юношеский фестиваль футбола. </w:t>
      </w:r>
    </w:p>
    <w:p w:rsidR="0055091F" w:rsidRPr="00F13DC5" w:rsidRDefault="0055091F" w:rsidP="0055091F">
      <w:pPr>
        <w:spacing w:line="276" w:lineRule="auto"/>
        <w:ind w:firstLine="709"/>
        <w:jc w:val="both"/>
        <w:rPr>
          <w:sz w:val="24"/>
          <w:szCs w:val="24"/>
        </w:rPr>
      </w:pPr>
      <w:r w:rsidRPr="00F13DC5">
        <w:rPr>
          <w:sz w:val="24"/>
          <w:szCs w:val="24"/>
        </w:rPr>
        <w:lastRenderedPageBreak/>
        <w:t>Несмотря на наличие системной работы в городском округе Тольятти, как и в целом в стране, существуют проблемы, сдерживающие развитие физической культуры и спорта. В городском округе Тольятти низкая обеспеченность населения городского округа Тольятти спортивными сооружениями.</w:t>
      </w:r>
    </w:p>
    <w:p w:rsidR="0055091F" w:rsidRPr="00F13DC5" w:rsidRDefault="0055091F" w:rsidP="0055091F">
      <w:pPr>
        <w:spacing w:line="276" w:lineRule="auto"/>
        <w:ind w:firstLine="709"/>
        <w:jc w:val="both"/>
        <w:rPr>
          <w:sz w:val="24"/>
          <w:szCs w:val="24"/>
        </w:rPr>
      </w:pPr>
      <w:r w:rsidRPr="00F13DC5">
        <w:rPr>
          <w:sz w:val="24"/>
          <w:szCs w:val="24"/>
        </w:rPr>
        <w:t xml:space="preserve">Согласно данным федерального статистического наблюдения по форме 1-ФК «Сведения о физической культуре и спорте» по состоянию на </w:t>
      </w:r>
      <w:r w:rsidR="00C95BA9">
        <w:rPr>
          <w:sz w:val="24"/>
          <w:szCs w:val="24"/>
        </w:rPr>
        <w:t>01</w:t>
      </w:r>
      <w:r w:rsidRPr="00F13DC5">
        <w:rPr>
          <w:sz w:val="24"/>
          <w:szCs w:val="24"/>
        </w:rPr>
        <w:t>.</w:t>
      </w:r>
      <w:r w:rsidR="00C95BA9">
        <w:rPr>
          <w:sz w:val="24"/>
          <w:szCs w:val="24"/>
        </w:rPr>
        <w:t>01</w:t>
      </w:r>
      <w:r w:rsidRPr="00F13DC5">
        <w:rPr>
          <w:sz w:val="24"/>
          <w:szCs w:val="24"/>
        </w:rPr>
        <w:t>.201</w:t>
      </w:r>
      <w:r w:rsidR="00C95BA9">
        <w:rPr>
          <w:sz w:val="24"/>
          <w:szCs w:val="24"/>
        </w:rPr>
        <w:t>9</w:t>
      </w:r>
      <w:r w:rsidRPr="00F13DC5">
        <w:rPr>
          <w:sz w:val="24"/>
          <w:szCs w:val="24"/>
        </w:rPr>
        <w:t xml:space="preserve"> в городском округе Тольятти общее количество спортивных сооружений составля</w:t>
      </w:r>
      <w:r w:rsidR="00C95BA9">
        <w:rPr>
          <w:sz w:val="24"/>
          <w:szCs w:val="24"/>
        </w:rPr>
        <w:t>ло</w:t>
      </w:r>
      <w:r w:rsidRPr="00F13DC5">
        <w:rPr>
          <w:sz w:val="24"/>
          <w:szCs w:val="24"/>
        </w:rPr>
        <w:t xml:space="preserve"> 816 ед</w:t>
      </w:r>
      <w:r>
        <w:rPr>
          <w:sz w:val="24"/>
          <w:szCs w:val="24"/>
        </w:rPr>
        <w:t>иниц</w:t>
      </w:r>
      <w:r w:rsidRPr="00F13DC5">
        <w:rPr>
          <w:sz w:val="24"/>
          <w:szCs w:val="24"/>
        </w:rPr>
        <w:t>, в том числе: стадионы - 2 ед</w:t>
      </w:r>
      <w:r>
        <w:rPr>
          <w:sz w:val="24"/>
          <w:szCs w:val="24"/>
        </w:rPr>
        <w:t>иницы</w:t>
      </w:r>
      <w:r w:rsidRPr="00F13DC5">
        <w:rPr>
          <w:sz w:val="24"/>
          <w:szCs w:val="24"/>
        </w:rPr>
        <w:t>, плос</w:t>
      </w:r>
      <w:r>
        <w:rPr>
          <w:sz w:val="24"/>
          <w:szCs w:val="24"/>
        </w:rPr>
        <w:t>костные площадки, поля - 441 единиц</w:t>
      </w:r>
      <w:r w:rsidRPr="00F13DC5">
        <w:rPr>
          <w:sz w:val="24"/>
          <w:szCs w:val="24"/>
        </w:rPr>
        <w:t xml:space="preserve">, спортивные залы </w:t>
      </w:r>
      <w:r>
        <w:rPr>
          <w:sz w:val="24"/>
          <w:szCs w:val="24"/>
        </w:rPr>
        <w:t>- 197 единиц</w:t>
      </w:r>
      <w:r w:rsidRPr="00F13DC5">
        <w:rPr>
          <w:sz w:val="24"/>
          <w:szCs w:val="24"/>
        </w:rPr>
        <w:t>, крытые объекты с искусственным льдом - 6 ед</w:t>
      </w:r>
      <w:r>
        <w:rPr>
          <w:sz w:val="24"/>
          <w:szCs w:val="24"/>
        </w:rPr>
        <w:t>иниц</w:t>
      </w:r>
      <w:r w:rsidRPr="00F13DC5">
        <w:rPr>
          <w:sz w:val="24"/>
          <w:szCs w:val="24"/>
        </w:rPr>
        <w:t>, плавательные бассейны - 22 ед</w:t>
      </w:r>
      <w:r>
        <w:rPr>
          <w:sz w:val="24"/>
          <w:szCs w:val="24"/>
        </w:rPr>
        <w:t>иниц</w:t>
      </w:r>
      <w:r w:rsidRPr="00F13DC5">
        <w:rPr>
          <w:sz w:val="24"/>
          <w:szCs w:val="24"/>
        </w:rPr>
        <w:t>, лыжные базы - 3 ед</w:t>
      </w:r>
      <w:r>
        <w:rPr>
          <w:sz w:val="24"/>
          <w:szCs w:val="24"/>
        </w:rPr>
        <w:t>иницы</w:t>
      </w:r>
      <w:r w:rsidRPr="00F13DC5">
        <w:rPr>
          <w:sz w:val="24"/>
          <w:szCs w:val="24"/>
        </w:rPr>
        <w:t>, стрелковые тиры - 16 ед</w:t>
      </w:r>
      <w:r>
        <w:rPr>
          <w:sz w:val="24"/>
          <w:szCs w:val="24"/>
        </w:rPr>
        <w:t>иниц</w:t>
      </w:r>
      <w:r w:rsidRPr="00F13DC5">
        <w:rPr>
          <w:sz w:val="24"/>
          <w:szCs w:val="24"/>
        </w:rPr>
        <w:t xml:space="preserve"> и другие спортивные сооружения - 110 ед</w:t>
      </w:r>
      <w:r>
        <w:rPr>
          <w:sz w:val="24"/>
          <w:szCs w:val="24"/>
        </w:rPr>
        <w:t>иниц</w:t>
      </w:r>
      <w:r w:rsidRPr="00F13DC5">
        <w:rPr>
          <w:sz w:val="24"/>
          <w:szCs w:val="24"/>
        </w:rPr>
        <w:t>, объекты городской и рекреационной инфраструктуры – 19 ед</w:t>
      </w:r>
      <w:r>
        <w:rPr>
          <w:sz w:val="24"/>
          <w:szCs w:val="24"/>
        </w:rPr>
        <w:t>иниц</w:t>
      </w:r>
      <w:r w:rsidRPr="00F13DC5">
        <w:rPr>
          <w:sz w:val="24"/>
          <w:szCs w:val="24"/>
        </w:rPr>
        <w:t>.</w:t>
      </w:r>
    </w:p>
    <w:p w:rsidR="0055091F" w:rsidRPr="00F13DC5" w:rsidRDefault="0055091F" w:rsidP="0055091F">
      <w:pPr>
        <w:spacing w:line="276" w:lineRule="auto"/>
        <w:ind w:firstLine="709"/>
        <w:jc w:val="both"/>
        <w:rPr>
          <w:sz w:val="24"/>
          <w:szCs w:val="24"/>
        </w:rPr>
      </w:pPr>
      <w:r w:rsidRPr="00F13DC5">
        <w:rPr>
          <w:sz w:val="24"/>
          <w:szCs w:val="24"/>
        </w:rPr>
        <w:t>Распределение спортивных сооружений, расположенных на территории городского округа Тольятти по формам собственности: в федеральной собственности - 35 ед</w:t>
      </w:r>
      <w:r>
        <w:rPr>
          <w:sz w:val="24"/>
          <w:szCs w:val="24"/>
        </w:rPr>
        <w:t>иниц</w:t>
      </w:r>
      <w:r w:rsidRPr="00F13DC5">
        <w:rPr>
          <w:sz w:val="24"/>
          <w:szCs w:val="24"/>
        </w:rPr>
        <w:t>, в собственности субъекта - 60 ед</w:t>
      </w:r>
      <w:r>
        <w:rPr>
          <w:sz w:val="24"/>
          <w:szCs w:val="24"/>
        </w:rPr>
        <w:t>иниц</w:t>
      </w:r>
      <w:r w:rsidRPr="00F13DC5">
        <w:rPr>
          <w:sz w:val="24"/>
          <w:szCs w:val="24"/>
        </w:rPr>
        <w:t>,  в муниципальной собственности - 662 ед</w:t>
      </w:r>
      <w:r>
        <w:rPr>
          <w:sz w:val="24"/>
          <w:szCs w:val="24"/>
        </w:rPr>
        <w:t>иниц</w:t>
      </w:r>
      <w:r w:rsidRPr="00F13DC5">
        <w:rPr>
          <w:sz w:val="24"/>
          <w:szCs w:val="24"/>
        </w:rPr>
        <w:t xml:space="preserve"> и в другой собственности - 59 ед</w:t>
      </w:r>
      <w:r>
        <w:rPr>
          <w:sz w:val="24"/>
          <w:szCs w:val="24"/>
        </w:rPr>
        <w:t>иниц</w:t>
      </w:r>
      <w:r w:rsidRPr="00F13DC5">
        <w:rPr>
          <w:sz w:val="24"/>
          <w:szCs w:val="24"/>
        </w:rPr>
        <w:t>.</w:t>
      </w:r>
    </w:p>
    <w:p w:rsidR="0055091F" w:rsidRPr="00F13DC5" w:rsidRDefault="0055091F" w:rsidP="0055091F">
      <w:pPr>
        <w:pStyle w:val="af9"/>
        <w:shd w:val="clear" w:color="auto" w:fill="FFFFFF" w:themeFill="background1"/>
        <w:spacing w:after="0" w:line="276" w:lineRule="auto"/>
        <w:ind w:firstLine="709"/>
        <w:jc w:val="both"/>
      </w:pPr>
      <w:r w:rsidRPr="00F13DC5">
        <w:t>Уровень фактической обеспеченности населения объектами спорта от нормативной потребности за 2018 год состав</w:t>
      </w:r>
      <w:r>
        <w:t>ил</w:t>
      </w:r>
      <w:r w:rsidRPr="00F13DC5">
        <w:t xml:space="preserve"> 29,7%. </w:t>
      </w:r>
    </w:p>
    <w:p w:rsidR="0055091F" w:rsidRPr="00F13DC5" w:rsidRDefault="0055091F" w:rsidP="0055091F">
      <w:pPr>
        <w:spacing w:line="276" w:lineRule="auto"/>
        <w:ind w:firstLine="709"/>
        <w:jc w:val="both"/>
        <w:rPr>
          <w:sz w:val="24"/>
          <w:szCs w:val="24"/>
        </w:rPr>
      </w:pPr>
      <w:r w:rsidRPr="00F13DC5">
        <w:rPr>
          <w:sz w:val="24"/>
          <w:szCs w:val="24"/>
        </w:rPr>
        <w:t>В 2018 году из средств местного бюджета в рамках действующей муниципальной программы реализованы мероприятия по развитию спортивной инфраструктуры:</w:t>
      </w:r>
    </w:p>
    <w:p w:rsidR="0055091F" w:rsidRPr="00F13DC5" w:rsidRDefault="0055091F" w:rsidP="0055091F">
      <w:pPr>
        <w:spacing w:line="276" w:lineRule="auto"/>
        <w:ind w:firstLine="709"/>
        <w:jc w:val="both"/>
        <w:rPr>
          <w:sz w:val="24"/>
          <w:szCs w:val="24"/>
        </w:rPr>
      </w:pPr>
      <w:r w:rsidRPr="00F13DC5">
        <w:rPr>
          <w:sz w:val="24"/>
          <w:szCs w:val="24"/>
        </w:rPr>
        <w:t>- капитальный ремонт объектов стадиона «Торпедо» МБУДО СДЮСШОР № 12 «Лада» (работы по ремонту внутренних помещений, благоустройство около стадиона, устройство натурального газона на центральном поле стадиона, ремонт системы полива поля, ремонт восточной трибуны для зрителей и вип-трибун, замена освещения на мачтах, работы по устройству пресс-центра, выполнение мероприятий по антитеррористической защищенности и обеспечения безопасности);</w:t>
      </w:r>
    </w:p>
    <w:p w:rsidR="0055091F" w:rsidRPr="00F13DC5" w:rsidRDefault="0055091F" w:rsidP="0055091F">
      <w:pPr>
        <w:spacing w:line="276" w:lineRule="auto"/>
        <w:ind w:firstLine="709"/>
        <w:jc w:val="both"/>
        <w:rPr>
          <w:sz w:val="24"/>
          <w:szCs w:val="24"/>
        </w:rPr>
      </w:pPr>
      <w:r w:rsidRPr="00F13DC5">
        <w:rPr>
          <w:sz w:val="24"/>
          <w:szCs w:val="24"/>
        </w:rPr>
        <w:t>- капитальный ремонт объектов спортивной базы «Плес» МБУДО КСДЮСШОР № 10 «Олимп» (ремонт санитарно-гигиенических помещений, установки окон и дверей);</w:t>
      </w:r>
    </w:p>
    <w:p w:rsidR="0055091F" w:rsidRPr="00F13DC5" w:rsidRDefault="0055091F" w:rsidP="0055091F">
      <w:pPr>
        <w:spacing w:line="276" w:lineRule="auto"/>
        <w:ind w:firstLine="709"/>
        <w:jc w:val="both"/>
        <w:rPr>
          <w:sz w:val="24"/>
          <w:szCs w:val="24"/>
        </w:rPr>
      </w:pPr>
      <w:r w:rsidRPr="00F13DC5">
        <w:rPr>
          <w:sz w:val="24"/>
          <w:szCs w:val="24"/>
        </w:rPr>
        <w:t>- ремонт кровли здания лыжной базы МБУДО СДЮСШОР  № 1 «Лыжные гонки»;</w:t>
      </w:r>
    </w:p>
    <w:p w:rsidR="0055091F" w:rsidRPr="00F13DC5" w:rsidRDefault="0055091F" w:rsidP="0055091F">
      <w:pPr>
        <w:spacing w:line="276" w:lineRule="auto"/>
        <w:ind w:firstLine="709"/>
        <w:jc w:val="both"/>
        <w:rPr>
          <w:sz w:val="24"/>
          <w:szCs w:val="24"/>
        </w:rPr>
      </w:pPr>
      <w:r w:rsidRPr="00F13DC5">
        <w:rPr>
          <w:sz w:val="24"/>
          <w:szCs w:val="24"/>
        </w:rPr>
        <w:t>- строительство и оснащение административно-бытового здания на стадионе «Труд» МБУДО СДЮСШОР № 12 «Лада»;</w:t>
      </w:r>
    </w:p>
    <w:p w:rsidR="0055091F" w:rsidRPr="00F13DC5" w:rsidRDefault="0055091F" w:rsidP="0055091F">
      <w:pPr>
        <w:spacing w:line="276" w:lineRule="auto"/>
        <w:ind w:firstLine="709"/>
        <w:jc w:val="both"/>
        <w:rPr>
          <w:sz w:val="24"/>
          <w:szCs w:val="24"/>
        </w:rPr>
      </w:pPr>
      <w:r w:rsidRPr="00F13DC5">
        <w:rPr>
          <w:sz w:val="24"/>
          <w:szCs w:val="24"/>
        </w:rPr>
        <w:t>- приобретение специализированного оборудования для ледовых катков (2 ед. ледоуборочных машин) для обслуживания ледовых полей во дворце спорта «Волгарь» и спортивном комплексе «Кристалл» МБУДО КСДЮСШОР № 13 «Волгарь» с софинансированием из областного бюджета.</w:t>
      </w:r>
    </w:p>
    <w:p w:rsidR="0055091F" w:rsidRPr="00F13DC5" w:rsidRDefault="0055091F" w:rsidP="0055091F">
      <w:pPr>
        <w:spacing w:line="276" w:lineRule="auto"/>
        <w:ind w:firstLine="709"/>
        <w:jc w:val="both"/>
        <w:rPr>
          <w:sz w:val="24"/>
          <w:szCs w:val="24"/>
        </w:rPr>
      </w:pPr>
      <w:r w:rsidRPr="00F13DC5">
        <w:rPr>
          <w:sz w:val="24"/>
          <w:szCs w:val="24"/>
        </w:rPr>
        <w:t xml:space="preserve">Учитывая дефицит средств в бюджете городского округа Тольятти для планомерного строительства, ремонта и реконструкции спортивных сооружений, и принимая во внимание необходимость реализации приоритетных направлений отрасли по увеличению низкого уровня обеспеченности населения спортивными сооружениями </w:t>
      </w:r>
      <w:r w:rsidR="00C95BA9">
        <w:rPr>
          <w:sz w:val="24"/>
          <w:szCs w:val="24"/>
        </w:rPr>
        <w:t>а</w:t>
      </w:r>
      <w:r w:rsidRPr="00F13DC5">
        <w:rPr>
          <w:sz w:val="24"/>
          <w:szCs w:val="24"/>
        </w:rPr>
        <w:t xml:space="preserve">дминистрацией городского округа Тольятти подготовлены и направлены заявки в </w:t>
      </w:r>
      <w:r>
        <w:rPr>
          <w:sz w:val="24"/>
          <w:szCs w:val="24"/>
        </w:rPr>
        <w:t>М</w:t>
      </w:r>
      <w:r w:rsidRPr="00F13DC5">
        <w:rPr>
          <w:sz w:val="24"/>
          <w:szCs w:val="24"/>
        </w:rPr>
        <w:t>инистерство спорта Самарской области о софинансировании указанных мероприятий.</w:t>
      </w:r>
    </w:p>
    <w:p w:rsidR="0055091F" w:rsidRPr="00F13DC5" w:rsidRDefault="0055091F" w:rsidP="0055091F">
      <w:pPr>
        <w:tabs>
          <w:tab w:val="left" w:pos="1400"/>
        </w:tabs>
        <w:spacing w:line="276" w:lineRule="auto"/>
        <w:ind w:firstLine="709"/>
        <w:jc w:val="both"/>
        <w:rPr>
          <w:sz w:val="24"/>
          <w:szCs w:val="24"/>
        </w:rPr>
      </w:pPr>
      <w:r w:rsidRPr="00F13DC5">
        <w:rPr>
          <w:sz w:val="24"/>
          <w:szCs w:val="24"/>
        </w:rPr>
        <w:t>В рамках национального проекта «Демография» реализовываются цели и задачи поставленные в Указе Президента от 0</w:t>
      </w:r>
      <w:r w:rsidRPr="00F13DC5">
        <w:rPr>
          <w:bCs/>
          <w:sz w:val="24"/>
          <w:szCs w:val="24"/>
        </w:rPr>
        <w:t>7.05.2018 года «О национальных целях и стратегических задачах развития Российской Федерации на период до 2024 года». В</w:t>
      </w:r>
      <w:r w:rsidRPr="00F13DC5">
        <w:rPr>
          <w:sz w:val="24"/>
          <w:szCs w:val="24"/>
        </w:rPr>
        <w:t xml:space="preserve"> сфере физической культуры и спорта действует федеральный проект «Спорт - норма жизни».</w:t>
      </w:r>
    </w:p>
    <w:p w:rsidR="0055091F" w:rsidRPr="00F13DC5" w:rsidRDefault="0055091F" w:rsidP="0055091F">
      <w:pPr>
        <w:pStyle w:val="ConsPlusTitle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F13DC5">
        <w:rPr>
          <w:rFonts w:ascii="Times New Roman" w:hAnsi="Times New Roman" w:cs="Times New Roman"/>
          <w:b w:val="0"/>
          <w:sz w:val="24"/>
          <w:szCs w:val="24"/>
        </w:rPr>
        <w:lastRenderedPageBreak/>
        <w:t>Целью проекта, является доведение к 2024 году до 55</w:t>
      </w:r>
      <w:r w:rsidR="003C1BEE">
        <w:rPr>
          <w:rFonts w:ascii="Times New Roman" w:hAnsi="Times New Roman" w:cs="Times New Roman"/>
          <w:b w:val="0"/>
          <w:sz w:val="24"/>
          <w:szCs w:val="24"/>
        </w:rPr>
        <w:t>,0</w:t>
      </w:r>
      <w:r w:rsidRPr="00F13DC5">
        <w:rPr>
          <w:rFonts w:ascii="Times New Roman" w:hAnsi="Times New Roman" w:cs="Times New Roman"/>
          <w:b w:val="0"/>
          <w:sz w:val="24"/>
          <w:szCs w:val="24"/>
        </w:rPr>
        <w:t>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«Готов к труду и обороне» (ГТО), а также подготовки спортивного резерва и развития спортивной инфраструктуры.</w:t>
      </w:r>
    </w:p>
    <w:p w:rsidR="0055091F" w:rsidRPr="00B67FDE" w:rsidRDefault="0055091F" w:rsidP="0055091F">
      <w:pPr>
        <w:tabs>
          <w:tab w:val="left" w:pos="1553"/>
        </w:tabs>
        <w:spacing w:line="276" w:lineRule="auto"/>
        <w:ind w:firstLine="709"/>
        <w:jc w:val="both"/>
        <w:rPr>
          <w:sz w:val="24"/>
          <w:szCs w:val="24"/>
        </w:rPr>
      </w:pPr>
      <w:r w:rsidRPr="00B67FDE">
        <w:rPr>
          <w:sz w:val="24"/>
          <w:szCs w:val="24"/>
        </w:rPr>
        <w:t>В государственную программу Самарской области «Развитие физической культуры и спорта в Самарской области на 2014-2021 годы» за счет средств областного и федерального бюджетов вошли мероприятия по проектированию и строительству следующих спортивных объектов:</w:t>
      </w:r>
    </w:p>
    <w:p w:rsidR="0055091F" w:rsidRPr="00B67FDE" w:rsidRDefault="0055091F" w:rsidP="0055091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67FDE">
        <w:rPr>
          <w:sz w:val="24"/>
          <w:szCs w:val="24"/>
        </w:rPr>
        <w:t>-  два многофункциональных физкультурно-спортивных комплекса, (бассейн, универсальный игровой зал, искусственный лед) в Комсомольском районе около речного порта и в мкр.Шлюзовой на  пересечении улиц Шлюзовая и Железнодорожная, срок реализации на 2018-2020 годы.</w:t>
      </w:r>
    </w:p>
    <w:p w:rsidR="0055091F" w:rsidRPr="00B67FDE" w:rsidRDefault="0055091F" w:rsidP="0055091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67FDE">
        <w:rPr>
          <w:sz w:val="24"/>
          <w:szCs w:val="24"/>
        </w:rPr>
        <w:t>- легкоатлетический манеж около стадиона «Торпедо», срок реализации на 2018-2020 годы.</w:t>
      </w:r>
    </w:p>
    <w:p w:rsidR="0055091F" w:rsidRPr="00B67FDE" w:rsidRDefault="0055091F" w:rsidP="0055091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67FDE">
        <w:rPr>
          <w:sz w:val="24"/>
          <w:szCs w:val="24"/>
        </w:rPr>
        <w:t>-  центр спортивной гимнастики «Немов-центр», срок реализации на 2018-2020 годы в Автозаводском район.</w:t>
      </w:r>
    </w:p>
    <w:p w:rsidR="0055091F" w:rsidRPr="00B67FDE" w:rsidRDefault="0055091F" w:rsidP="0055091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67FDE">
        <w:rPr>
          <w:sz w:val="24"/>
          <w:szCs w:val="24"/>
        </w:rPr>
        <w:t xml:space="preserve"> - два физкультурно-спортивных комплекса, срок реализации на 2019-2020 годы - физкультурно-спортивный комплекс в 21 квартале Автозаводского района для МБУДО СДЮСШОР № 7 «Акробат» </w:t>
      </w:r>
    </w:p>
    <w:p w:rsidR="0055091F" w:rsidRPr="00B67FDE" w:rsidRDefault="0055091F" w:rsidP="0055091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67FDE">
        <w:rPr>
          <w:sz w:val="24"/>
          <w:szCs w:val="24"/>
        </w:rPr>
        <w:t>- устройство универсальных спортивных площадок, срок реализации на 2018-2019 годы.</w:t>
      </w:r>
    </w:p>
    <w:p w:rsidR="0055091F" w:rsidRPr="00B67FDE" w:rsidRDefault="0055091F" w:rsidP="0055091F">
      <w:pPr>
        <w:tabs>
          <w:tab w:val="left" w:pos="1400"/>
        </w:tabs>
        <w:spacing w:line="276" w:lineRule="auto"/>
        <w:ind w:firstLine="709"/>
        <w:jc w:val="both"/>
        <w:rPr>
          <w:sz w:val="24"/>
          <w:szCs w:val="24"/>
        </w:rPr>
      </w:pPr>
      <w:r w:rsidRPr="00B67FDE">
        <w:rPr>
          <w:sz w:val="24"/>
          <w:szCs w:val="24"/>
        </w:rPr>
        <w:t>В 2019 году запланированы ввод в эксплуатацию (капитального ремонта) следующих спортивных объектов:</w:t>
      </w:r>
    </w:p>
    <w:p w:rsidR="0055091F" w:rsidRPr="00B67FDE" w:rsidRDefault="0055091F" w:rsidP="0055091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67FDE">
        <w:rPr>
          <w:sz w:val="24"/>
          <w:szCs w:val="24"/>
        </w:rPr>
        <w:t>- физкультурно-спортивного комплекса с универсальным игровым залом (36х18м) во 2 квартале Автозаводского района для МБУДО СДЮСШОР № 8 «Союз»;</w:t>
      </w:r>
    </w:p>
    <w:p w:rsidR="0055091F" w:rsidRPr="00B67FDE" w:rsidRDefault="0055091F" w:rsidP="0055091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67FDE">
        <w:rPr>
          <w:sz w:val="24"/>
          <w:szCs w:val="24"/>
        </w:rPr>
        <w:t>- капитальный ремонт кровли спортивного комплекса «Старт» МБУДО СДЮСШОР № 3 «Легкая атлетика»;</w:t>
      </w:r>
    </w:p>
    <w:p w:rsidR="0055091F" w:rsidRPr="00B67FDE" w:rsidRDefault="0055091F" w:rsidP="0055091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67FDE">
        <w:rPr>
          <w:sz w:val="24"/>
          <w:szCs w:val="24"/>
        </w:rPr>
        <w:t>- капитальный ремонт объектов обособленного структурного подразделения база отдыха «Спартак» МБУДО СДЮСШОР № 9 «Велотол»;</w:t>
      </w:r>
    </w:p>
    <w:p w:rsidR="0055091F" w:rsidRPr="00B67FDE" w:rsidRDefault="0055091F" w:rsidP="0055091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67FDE">
        <w:rPr>
          <w:sz w:val="24"/>
          <w:szCs w:val="24"/>
        </w:rPr>
        <w:t>- устройство 3 единиц универсальных спортивных площадок;</w:t>
      </w:r>
    </w:p>
    <w:p w:rsidR="0055091F" w:rsidRPr="00B67FDE" w:rsidRDefault="0055091F" w:rsidP="0055091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67FDE">
        <w:rPr>
          <w:sz w:val="24"/>
          <w:szCs w:val="24"/>
        </w:rPr>
        <w:t>- устройство 1 единица малой спортивной площадки для сдачи норм ГТО.</w:t>
      </w:r>
    </w:p>
    <w:p w:rsidR="0055091F" w:rsidRPr="00B67FDE" w:rsidRDefault="0055091F" w:rsidP="0055091F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Courier New"/>
          <w:color w:val="000000"/>
          <w:sz w:val="24"/>
          <w:szCs w:val="24"/>
          <w:lang w:bidi="ru-RU"/>
        </w:rPr>
      </w:pPr>
      <w:r w:rsidRPr="00B67FDE">
        <w:rPr>
          <w:rFonts w:eastAsia="Courier New"/>
          <w:color w:val="000000"/>
          <w:sz w:val="24"/>
          <w:szCs w:val="24"/>
          <w:lang w:bidi="ru-RU"/>
        </w:rPr>
        <w:t>Потребность в мероприятиях по реконструкции и капитальному ремонту спортивных сооружений в городском округе Тольятти испытывают 15 учреждений отрасли, предстоит построить 9 спортивных сооружений.</w:t>
      </w:r>
    </w:p>
    <w:p w:rsidR="0055091F" w:rsidRPr="00B67FDE" w:rsidRDefault="0055091F" w:rsidP="0055091F">
      <w:pPr>
        <w:spacing w:line="276" w:lineRule="auto"/>
        <w:ind w:firstLine="709"/>
        <w:jc w:val="both"/>
        <w:rPr>
          <w:sz w:val="24"/>
          <w:szCs w:val="24"/>
        </w:rPr>
      </w:pPr>
      <w:r w:rsidRPr="00B67FDE">
        <w:rPr>
          <w:sz w:val="24"/>
          <w:szCs w:val="24"/>
        </w:rPr>
        <w:t>Кадровая обеспеченность отрасли «Физическая культура и спорт»</w:t>
      </w:r>
      <w:r w:rsidRPr="00B67FDE">
        <w:rPr>
          <w:b/>
          <w:sz w:val="24"/>
          <w:szCs w:val="24"/>
        </w:rPr>
        <w:t xml:space="preserve"> </w:t>
      </w:r>
      <w:r w:rsidRPr="00B67FDE">
        <w:rPr>
          <w:sz w:val="24"/>
          <w:szCs w:val="24"/>
        </w:rPr>
        <w:t>согласно данным, представленным по форме № 1-ФК «Сведения о физической культуре и спорте» за 2018 год по состоянию на 31.12.2018 года в городском округе Тольятти в организациях различных организационно-правовых форм и видов собственности имеется 2 101 физкультурных работников, из них: с высшим физкультурным образованием  1303 человек, со средним физкультурным образованием - 579 человека.</w:t>
      </w:r>
    </w:p>
    <w:p w:rsidR="0055091F" w:rsidRPr="00B67FDE" w:rsidRDefault="0055091F" w:rsidP="0055091F">
      <w:pPr>
        <w:overflowPunct w:val="0"/>
        <w:autoSpaceDE w:val="0"/>
        <w:spacing w:line="276" w:lineRule="auto"/>
        <w:ind w:firstLine="709"/>
        <w:jc w:val="both"/>
        <w:rPr>
          <w:sz w:val="24"/>
          <w:szCs w:val="24"/>
        </w:rPr>
      </w:pPr>
      <w:r w:rsidRPr="00B67FDE">
        <w:rPr>
          <w:sz w:val="24"/>
          <w:szCs w:val="24"/>
        </w:rPr>
        <w:t xml:space="preserve">В настоящее время отсутствует острая проблема с укомплектованностью тренерами и специалистами муниципальных учреждений, находящихся в ведомственном подчинении </w:t>
      </w:r>
      <w:r w:rsidRPr="00B67FDE">
        <w:rPr>
          <w:sz w:val="24"/>
          <w:szCs w:val="24"/>
        </w:rPr>
        <w:lastRenderedPageBreak/>
        <w:t>Управления физической культуры и спорта. Возникающие вакансии оперативно заполняются в соответствии с потребностью.</w:t>
      </w:r>
    </w:p>
    <w:p w:rsidR="0055091F" w:rsidRDefault="0055091F" w:rsidP="0055091F">
      <w:pPr>
        <w:spacing w:line="276" w:lineRule="auto"/>
        <w:ind w:firstLine="709"/>
        <w:jc w:val="both"/>
        <w:rPr>
          <w:sz w:val="24"/>
          <w:szCs w:val="24"/>
        </w:rPr>
      </w:pPr>
      <w:r w:rsidRPr="00F13DC5">
        <w:rPr>
          <w:sz w:val="24"/>
          <w:szCs w:val="24"/>
        </w:rPr>
        <w:t>Основным показателем развития отрасли является - доля граждан населения, систематически занимающихся физической культурой и спортом, данный показатель по городскому округу Толья</w:t>
      </w:r>
      <w:r>
        <w:rPr>
          <w:sz w:val="24"/>
          <w:szCs w:val="24"/>
        </w:rPr>
        <w:t xml:space="preserve">тти </w:t>
      </w:r>
      <w:r w:rsidRPr="00F13DC5">
        <w:rPr>
          <w:sz w:val="24"/>
          <w:szCs w:val="24"/>
        </w:rPr>
        <w:t xml:space="preserve"> в 2018 году - 38,1%</w:t>
      </w:r>
      <w:r w:rsidR="00C95BA9">
        <w:rPr>
          <w:sz w:val="24"/>
          <w:szCs w:val="24"/>
        </w:rPr>
        <w:t>.</w:t>
      </w:r>
      <w:r w:rsidRPr="00F13DC5">
        <w:rPr>
          <w:sz w:val="24"/>
          <w:szCs w:val="24"/>
        </w:rPr>
        <w:t xml:space="preserve"> </w:t>
      </w:r>
    </w:p>
    <w:p w:rsidR="00C95BA9" w:rsidRPr="005319C7" w:rsidRDefault="00C95BA9" w:rsidP="0055091F">
      <w:pPr>
        <w:spacing w:line="276" w:lineRule="auto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55091F" w:rsidRPr="00035637" w:rsidRDefault="0055091F" w:rsidP="0055091F">
      <w:pPr>
        <w:spacing w:line="276" w:lineRule="auto"/>
        <w:jc w:val="center"/>
        <w:rPr>
          <w:sz w:val="24"/>
          <w:szCs w:val="24"/>
        </w:rPr>
      </w:pPr>
      <w:r w:rsidRPr="00035637">
        <w:rPr>
          <w:sz w:val="24"/>
          <w:szCs w:val="24"/>
        </w:rPr>
        <w:t>Ожидаемое выполнение прогнозных показателей по разделу</w:t>
      </w:r>
    </w:p>
    <w:p w:rsidR="0055091F" w:rsidRDefault="0055091F" w:rsidP="0055091F">
      <w:pPr>
        <w:spacing w:line="276" w:lineRule="auto"/>
        <w:jc w:val="center"/>
        <w:rPr>
          <w:sz w:val="24"/>
          <w:szCs w:val="24"/>
        </w:rPr>
      </w:pPr>
      <w:r w:rsidRPr="00035637">
        <w:rPr>
          <w:sz w:val="24"/>
          <w:szCs w:val="24"/>
        </w:rPr>
        <w:t>«Физическая культура и спорт» на 2019 год</w:t>
      </w:r>
    </w:p>
    <w:p w:rsidR="0055091F" w:rsidRPr="00035637" w:rsidRDefault="0055091F" w:rsidP="0055091F">
      <w:pPr>
        <w:spacing w:line="276" w:lineRule="auto"/>
        <w:jc w:val="center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134"/>
        <w:gridCol w:w="1418"/>
        <w:gridCol w:w="1275"/>
        <w:gridCol w:w="1276"/>
        <w:gridCol w:w="1276"/>
      </w:tblGrid>
      <w:tr w:rsidR="0055091F" w:rsidRPr="00035637" w:rsidTr="005469D6">
        <w:trPr>
          <w:trHeight w:hRule="exact" w:val="332"/>
          <w:tblHeader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91F" w:rsidRPr="00035637" w:rsidRDefault="0055091F" w:rsidP="005469D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35637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91F" w:rsidRDefault="0055091F" w:rsidP="005469D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35637">
              <w:rPr>
                <w:sz w:val="24"/>
                <w:szCs w:val="24"/>
              </w:rPr>
              <w:t>Единица измере</w:t>
            </w:r>
          </w:p>
          <w:p w:rsidR="0055091F" w:rsidRPr="00035637" w:rsidRDefault="0055091F" w:rsidP="005469D6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035637">
              <w:rPr>
                <w:sz w:val="24"/>
                <w:szCs w:val="24"/>
              </w:rPr>
              <w:t>ния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91F" w:rsidRPr="00035637" w:rsidRDefault="0055091F" w:rsidP="005469D6">
            <w:pPr>
              <w:jc w:val="center"/>
              <w:rPr>
                <w:sz w:val="24"/>
                <w:szCs w:val="24"/>
              </w:rPr>
            </w:pPr>
            <w:r w:rsidRPr="00035637">
              <w:rPr>
                <w:sz w:val="24"/>
                <w:szCs w:val="24"/>
              </w:rPr>
              <w:t>Прогноз на 201</w:t>
            </w:r>
            <w:r>
              <w:rPr>
                <w:sz w:val="24"/>
                <w:szCs w:val="24"/>
              </w:rPr>
              <w:t>9</w:t>
            </w:r>
            <w:r w:rsidRPr="0003563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1F" w:rsidRPr="00035637" w:rsidRDefault="0055091F" w:rsidP="005469D6">
            <w:pPr>
              <w:jc w:val="center"/>
              <w:rPr>
                <w:sz w:val="24"/>
                <w:szCs w:val="24"/>
              </w:rPr>
            </w:pPr>
            <w:r w:rsidRPr="0003563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35637">
              <w:rPr>
                <w:sz w:val="24"/>
                <w:szCs w:val="24"/>
              </w:rPr>
              <w:t xml:space="preserve"> год (оценка)</w:t>
            </w:r>
          </w:p>
        </w:tc>
      </w:tr>
      <w:tr w:rsidR="0055091F" w:rsidRPr="00035637" w:rsidTr="005469D6">
        <w:trPr>
          <w:trHeight w:hRule="exact" w:val="917"/>
          <w:tblHeader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91F" w:rsidRPr="00035637" w:rsidRDefault="0055091F" w:rsidP="005469D6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91F" w:rsidRPr="00035637" w:rsidRDefault="0055091F" w:rsidP="005469D6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91F" w:rsidRPr="000604DF" w:rsidRDefault="0055091F" w:rsidP="005469D6">
            <w:pPr>
              <w:jc w:val="center"/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</w:rPr>
              <w:t>1 вариант (консерва</w:t>
            </w:r>
          </w:p>
          <w:p w:rsidR="0055091F" w:rsidRPr="000604DF" w:rsidRDefault="0055091F" w:rsidP="005469D6">
            <w:pPr>
              <w:jc w:val="center"/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</w:rPr>
              <w:t>тивный)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91F" w:rsidRPr="000604DF" w:rsidRDefault="0055091F" w:rsidP="005469D6">
            <w:pPr>
              <w:jc w:val="center"/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</w:rPr>
              <w:t>2 вариант</w:t>
            </w:r>
          </w:p>
          <w:p w:rsidR="0055091F" w:rsidRPr="000604DF" w:rsidRDefault="0055091F" w:rsidP="005469D6">
            <w:pPr>
              <w:jc w:val="center"/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</w:rPr>
              <w:t>(базовый)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091F" w:rsidRPr="000604DF" w:rsidRDefault="0055091F" w:rsidP="005469D6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604DF">
              <w:rPr>
                <w:sz w:val="24"/>
                <w:szCs w:val="24"/>
                <w:shd w:val="clear" w:color="auto" w:fill="FFFFFF"/>
              </w:rPr>
              <w:t>3 вариант</w:t>
            </w:r>
          </w:p>
          <w:p w:rsidR="0055091F" w:rsidRPr="000604DF" w:rsidRDefault="0055091F" w:rsidP="005469D6">
            <w:pPr>
              <w:snapToGrid w:val="0"/>
              <w:rPr>
                <w:sz w:val="24"/>
                <w:szCs w:val="24"/>
              </w:rPr>
            </w:pPr>
            <w:r w:rsidRPr="000604DF">
              <w:rPr>
                <w:sz w:val="24"/>
                <w:szCs w:val="24"/>
                <w:shd w:val="clear" w:color="auto" w:fill="FFFFFF"/>
              </w:rPr>
              <w:t>(целевой)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1F" w:rsidRPr="00035637" w:rsidRDefault="0055091F" w:rsidP="005469D6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55091F" w:rsidRPr="00035637" w:rsidTr="005469D6">
        <w:trPr>
          <w:trHeight w:val="64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5091F" w:rsidRPr="00035637" w:rsidRDefault="0055091F" w:rsidP="005469D6">
            <w:pPr>
              <w:snapToGrid w:val="0"/>
              <w:rPr>
                <w:iCs/>
                <w:sz w:val="24"/>
                <w:szCs w:val="24"/>
              </w:rPr>
            </w:pPr>
            <w:r w:rsidRPr="00035637">
              <w:rPr>
                <w:sz w:val="24"/>
                <w:szCs w:val="24"/>
              </w:rPr>
              <w:t>Доля населения, систематически занимающихся физической культурой и спортом, в общей численности населения в возрасте 3-79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5091F" w:rsidRPr="00035637" w:rsidRDefault="0055091F" w:rsidP="005469D6">
            <w:pPr>
              <w:snapToGrid w:val="0"/>
              <w:jc w:val="center"/>
              <w:rPr>
                <w:sz w:val="24"/>
                <w:szCs w:val="24"/>
              </w:rPr>
            </w:pPr>
            <w:r w:rsidRPr="00035637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1F" w:rsidRPr="00035637" w:rsidRDefault="0055091F" w:rsidP="005469D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35637">
              <w:rPr>
                <w:sz w:val="24"/>
                <w:szCs w:val="24"/>
              </w:rPr>
              <w:t>37,5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1F" w:rsidRPr="00035637" w:rsidRDefault="0055091F" w:rsidP="005469D6">
            <w:pPr>
              <w:jc w:val="center"/>
              <w:rPr>
                <w:sz w:val="24"/>
                <w:szCs w:val="24"/>
              </w:rPr>
            </w:pPr>
            <w:r w:rsidRPr="00035637"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1F" w:rsidRPr="00035637" w:rsidRDefault="0055091F" w:rsidP="005469D6">
            <w:pPr>
              <w:jc w:val="center"/>
              <w:rPr>
                <w:sz w:val="24"/>
                <w:szCs w:val="24"/>
              </w:rPr>
            </w:pPr>
            <w:r w:rsidRPr="00035637">
              <w:rPr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091F" w:rsidRPr="00830E2A" w:rsidRDefault="0055091F" w:rsidP="005469D6">
            <w:pPr>
              <w:snapToGrid w:val="0"/>
              <w:jc w:val="center"/>
              <w:rPr>
                <w:sz w:val="24"/>
                <w:szCs w:val="24"/>
              </w:rPr>
            </w:pPr>
            <w:r w:rsidRPr="00830E2A">
              <w:rPr>
                <w:sz w:val="24"/>
                <w:szCs w:val="24"/>
              </w:rPr>
              <w:t xml:space="preserve">40,0 </w:t>
            </w:r>
          </w:p>
        </w:tc>
      </w:tr>
      <w:tr w:rsidR="0055091F" w:rsidRPr="00035637" w:rsidTr="005469D6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5091F" w:rsidRPr="00035637" w:rsidRDefault="0055091F" w:rsidP="005469D6">
            <w:pPr>
              <w:snapToGrid w:val="0"/>
              <w:rPr>
                <w:sz w:val="24"/>
                <w:szCs w:val="24"/>
              </w:rPr>
            </w:pPr>
            <w:r w:rsidRPr="00035637">
              <w:rPr>
                <w:sz w:val="24"/>
                <w:szCs w:val="24"/>
              </w:rPr>
              <w:t>Уровень фактической обеспеченности населения объектами спорта от нормативной потребности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5091F" w:rsidRPr="00035637" w:rsidRDefault="0055091F" w:rsidP="005469D6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035637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1F" w:rsidRPr="00035637" w:rsidRDefault="0055091F" w:rsidP="005469D6">
            <w:pPr>
              <w:jc w:val="center"/>
              <w:rPr>
                <w:sz w:val="24"/>
                <w:szCs w:val="24"/>
              </w:rPr>
            </w:pPr>
            <w:r w:rsidRPr="00035637">
              <w:rPr>
                <w:sz w:val="24"/>
                <w:szCs w:val="24"/>
              </w:rP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1F" w:rsidRPr="00035637" w:rsidRDefault="0055091F" w:rsidP="005469D6">
            <w:pPr>
              <w:jc w:val="center"/>
              <w:rPr>
                <w:sz w:val="24"/>
                <w:szCs w:val="24"/>
              </w:rPr>
            </w:pPr>
            <w:r w:rsidRPr="00035637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091F" w:rsidRPr="00035637" w:rsidRDefault="0055091F" w:rsidP="005469D6">
            <w:pPr>
              <w:jc w:val="center"/>
              <w:rPr>
                <w:sz w:val="24"/>
                <w:szCs w:val="24"/>
              </w:rPr>
            </w:pPr>
            <w:r w:rsidRPr="00035637">
              <w:rPr>
                <w:sz w:val="24"/>
                <w:szCs w:val="24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91F" w:rsidRPr="00830E2A" w:rsidRDefault="0055091F" w:rsidP="005469D6">
            <w:pPr>
              <w:snapToGrid w:val="0"/>
              <w:jc w:val="center"/>
              <w:rPr>
                <w:sz w:val="24"/>
                <w:szCs w:val="24"/>
              </w:rPr>
            </w:pPr>
            <w:r w:rsidRPr="00830E2A">
              <w:rPr>
                <w:sz w:val="24"/>
                <w:szCs w:val="24"/>
              </w:rPr>
              <w:t>30,1</w:t>
            </w:r>
          </w:p>
        </w:tc>
      </w:tr>
    </w:tbl>
    <w:p w:rsidR="0055091F" w:rsidRPr="005319C7" w:rsidRDefault="0055091F" w:rsidP="0055091F">
      <w:pPr>
        <w:pStyle w:val="Textbodyindent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:rsidR="00C95BA9" w:rsidRPr="00F13DC5" w:rsidRDefault="0055091F" w:rsidP="00C95BA9">
      <w:pPr>
        <w:spacing w:line="276" w:lineRule="auto"/>
        <w:ind w:firstLine="709"/>
        <w:jc w:val="both"/>
        <w:rPr>
          <w:sz w:val="24"/>
          <w:szCs w:val="24"/>
        </w:rPr>
      </w:pPr>
      <w:r w:rsidRPr="007E3D2B">
        <w:rPr>
          <w:sz w:val="24"/>
          <w:szCs w:val="24"/>
          <w:lang w:eastAsia="ar-SA"/>
        </w:rPr>
        <w:t>Показатель «Доля населения, систематически занимающегося физической культурой и спортом» в 2019 году скорректиров</w:t>
      </w:r>
      <w:r w:rsidR="00D0645A">
        <w:rPr>
          <w:sz w:val="24"/>
          <w:szCs w:val="24"/>
          <w:lang w:eastAsia="ar-SA"/>
        </w:rPr>
        <w:t>ан в сторону увеличения до 40,0</w:t>
      </w:r>
      <w:r w:rsidRPr="007E3D2B">
        <w:rPr>
          <w:sz w:val="24"/>
          <w:szCs w:val="24"/>
          <w:lang w:eastAsia="ar-SA"/>
        </w:rPr>
        <w:t>%, в связи с ростом занимающихся в отдельных видах организаций и привлечением к федеральному статистическому наблюдению по форме № 1-ФК «Сведения о физической культуре и спорте» открытых или созданных организаций различных организационно-правовых форм и форм собственности (спортивные клубы, федерации, фитнес-центры, ООО и ИП и т.д.), осуществляющих работу в сфере физической культуры и спорта.</w:t>
      </w:r>
      <w:r w:rsidR="00C95BA9">
        <w:rPr>
          <w:sz w:val="24"/>
          <w:szCs w:val="24"/>
          <w:lang w:eastAsia="ar-SA"/>
        </w:rPr>
        <w:t xml:space="preserve"> </w:t>
      </w:r>
      <w:r w:rsidR="00C95BA9" w:rsidRPr="00F13DC5">
        <w:rPr>
          <w:sz w:val="24"/>
          <w:szCs w:val="24"/>
        </w:rPr>
        <w:t>Рост показателя объясняется наличием системной работы в городском округе Тольятти, имеется значительный физкультурный актив, работают 179 ед. общественных организаций спортивного направления – клубов, федераций, количество фитнес клубов составляет 55 ед</w:t>
      </w:r>
      <w:r w:rsidR="00D0645A">
        <w:rPr>
          <w:sz w:val="24"/>
          <w:szCs w:val="24"/>
        </w:rPr>
        <w:t>иниц</w:t>
      </w:r>
      <w:r w:rsidR="00C95BA9" w:rsidRPr="00F13DC5">
        <w:rPr>
          <w:sz w:val="24"/>
          <w:szCs w:val="24"/>
        </w:rPr>
        <w:t xml:space="preserve">. Большое внимание уделяется развитию Спартакиадного движения среди всех возрастных групп населения – дошкольников, школьников, студентов, трудящихся, инвалидов, ветеранов спорта. </w:t>
      </w:r>
    </w:p>
    <w:p w:rsidR="00EA2C91" w:rsidRDefault="0055091F" w:rsidP="00EA2C91">
      <w:pPr>
        <w:spacing w:line="276" w:lineRule="auto"/>
        <w:ind w:firstLine="709"/>
        <w:jc w:val="both"/>
        <w:rPr>
          <w:sz w:val="24"/>
          <w:szCs w:val="24"/>
        </w:rPr>
      </w:pPr>
      <w:r w:rsidRPr="00D77D6D">
        <w:rPr>
          <w:sz w:val="24"/>
          <w:szCs w:val="24"/>
          <w:lang w:eastAsia="ar-SA"/>
        </w:rPr>
        <w:t>Показатель «</w:t>
      </w:r>
      <w:r w:rsidRPr="00D77D6D">
        <w:rPr>
          <w:sz w:val="24"/>
          <w:szCs w:val="24"/>
        </w:rPr>
        <w:t xml:space="preserve">Уровень фактической обеспеченности населения объектами спорта от нормативной потребности» </w:t>
      </w:r>
      <w:r w:rsidRPr="00D77D6D">
        <w:rPr>
          <w:sz w:val="24"/>
          <w:szCs w:val="24"/>
          <w:lang w:eastAsia="ar-SA"/>
        </w:rPr>
        <w:t xml:space="preserve"> в 2019 году скорректиров</w:t>
      </w:r>
      <w:r w:rsidR="00D0645A">
        <w:rPr>
          <w:sz w:val="24"/>
          <w:szCs w:val="24"/>
          <w:lang w:eastAsia="ar-SA"/>
        </w:rPr>
        <w:t>ан в сторону увеличения до 30,1</w:t>
      </w:r>
      <w:r w:rsidRPr="00D77D6D">
        <w:rPr>
          <w:sz w:val="24"/>
          <w:szCs w:val="24"/>
          <w:lang w:eastAsia="ar-SA"/>
        </w:rPr>
        <w:t xml:space="preserve">%, в связи с </w:t>
      </w:r>
      <w:r w:rsidRPr="00D77D6D">
        <w:rPr>
          <w:sz w:val="24"/>
          <w:szCs w:val="24"/>
        </w:rPr>
        <w:t xml:space="preserve"> вводом в эксплуатацию 4 спортивных площадок и физкультурно-спортивного комплекса для МБУДО СДЮСШОР № 8 «Союз». </w:t>
      </w:r>
    </w:p>
    <w:p w:rsidR="00C95BA9" w:rsidRDefault="00C95BA9" w:rsidP="00872F73">
      <w:pPr>
        <w:spacing w:line="276" w:lineRule="auto"/>
        <w:ind w:firstLine="709"/>
        <w:jc w:val="center"/>
        <w:rPr>
          <w:b/>
          <w:sz w:val="24"/>
          <w:szCs w:val="24"/>
          <w:lang w:eastAsia="ar-SA"/>
        </w:rPr>
      </w:pPr>
    </w:p>
    <w:p w:rsidR="00A50BA4" w:rsidRPr="00830E2A" w:rsidRDefault="00A50BA4" w:rsidP="00872F73">
      <w:pPr>
        <w:spacing w:line="276" w:lineRule="auto"/>
        <w:ind w:firstLine="709"/>
        <w:jc w:val="center"/>
        <w:rPr>
          <w:b/>
          <w:sz w:val="24"/>
          <w:szCs w:val="24"/>
          <w:lang w:eastAsia="ar-SA"/>
        </w:rPr>
      </w:pPr>
      <w:r w:rsidRPr="00830E2A">
        <w:rPr>
          <w:b/>
          <w:sz w:val="24"/>
          <w:szCs w:val="24"/>
          <w:lang w:eastAsia="ar-SA"/>
        </w:rPr>
        <w:t>Потребительский рынок товаров</w:t>
      </w:r>
      <w:bookmarkStart w:id="10" w:name="потреб"/>
      <w:bookmarkEnd w:id="10"/>
    </w:p>
    <w:p w:rsidR="008B6D01" w:rsidRPr="005319C7" w:rsidRDefault="008B6D01" w:rsidP="00872F73">
      <w:pPr>
        <w:pStyle w:val="aff0"/>
        <w:spacing w:line="276" w:lineRule="auto"/>
        <w:jc w:val="center"/>
        <w:rPr>
          <w:sz w:val="24"/>
          <w:szCs w:val="24"/>
          <w:highlight w:val="yellow"/>
          <w:shd w:val="clear" w:color="auto" w:fill="FFFFFF"/>
        </w:rPr>
      </w:pPr>
    </w:p>
    <w:p w:rsidR="00843EA1" w:rsidRPr="00843EA1" w:rsidRDefault="00843EA1" w:rsidP="00843EA1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843EA1">
        <w:rPr>
          <w:rFonts w:eastAsia="Calibri"/>
          <w:sz w:val="24"/>
          <w:szCs w:val="24"/>
        </w:rPr>
        <w:t>В настоящее время инфраструктура розничной торговли в городском округе Тольятти представлена достаточно развитой сетью торговых организаций.</w:t>
      </w:r>
    </w:p>
    <w:p w:rsidR="00843EA1" w:rsidRPr="00843EA1" w:rsidRDefault="00843EA1" w:rsidP="00843EA1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843EA1">
        <w:rPr>
          <w:rFonts w:eastAsia="Calibri"/>
          <w:sz w:val="24"/>
          <w:szCs w:val="24"/>
        </w:rPr>
        <w:lastRenderedPageBreak/>
        <w:t xml:space="preserve">По состоянию на 01.07.2019 в городском округе Тольятти действуют более 12 тыс. предприятий торговли, более 0,7 тыс. предприятий общественного питания, около 2,0 тыс. предприятий бытового обслуживания населения. </w:t>
      </w:r>
    </w:p>
    <w:p w:rsidR="00843EA1" w:rsidRPr="00843EA1" w:rsidRDefault="00843EA1" w:rsidP="00843EA1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843EA1">
        <w:rPr>
          <w:rFonts w:eastAsia="Calibri"/>
          <w:sz w:val="24"/>
          <w:szCs w:val="24"/>
        </w:rPr>
        <w:t>Продолжается развитие крупных торговых центров, включающих в себя множество магазинов, предприятий питания, сферы услуг, досуга и развлечений. В настоящее время их количество в городском округе Тольятти составляет более 120 единиц: ТРК «Русь на Волге», TРК «Парк Хаус», ТЦ «Мадагаскар», ТЦ «Апельсин», ООО «Мегастрой» и др.</w:t>
      </w:r>
    </w:p>
    <w:p w:rsidR="00843EA1" w:rsidRPr="00843EA1" w:rsidRDefault="00843EA1" w:rsidP="00843EA1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843EA1">
        <w:rPr>
          <w:rFonts w:eastAsia="Calibri"/>
          <w:sz w:val="24"/>
          <w:szCs w:val="24"/>
        </w:rPr>
        <w:t>На территории городского округа Тольятти осуществляют деятельность 5 рынков с разрешениями на право организации розничных рынков (1 - сельскохозяйственный; 3 - универсальных; 1 - специализированный по продаже автозапчастей ((организованных согласно требованиям ст. 24. Федерального закона от 30.12.2006 г. 271-ФЗ «О розничных рынках и о внесении изменений в Трудовой кодекс Российской Федерации»)).</w:t>
      </w:r>
    </w:p>
    <w:p w:rsidR="00843EA1" w:rsidRPr="00843EA1" w:rsidRDefault="00843EA1" w:rsidP="00843EA1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843EA1">
        <w:rPr>
          <w:rFonts w:eastAsia="Calibri"/>
          <w:sz w:val="24"/>
          <w:szCs w:val="24"/>
        </w:rPr>
        <w:t>В отчетном периоде проведена 21 ярмарка, включенная в реестр Самарской области.</w:t>
      </w:r>
    </w:p>
    <w:p w:rsidR="00843EA1" w:rsidRPr="00843EA1" w:rsidRDefault="00843EA1" w:rsidP="00843EA1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136B4">
        <w:rPr>
          <w:rFonts w:eastAsia="Calibri"/>
          <w:sz w:val="24"/>
          <w:szCs w:val="24"/>
        </w:rPr>
        <w:t>За шесть месяцев 201</w:t>
      </w:r>
      <w:r w:rsidR="00F136B4" w:rsidRPr="00F136B4">
        <w:rPr>
          <w:rFonts w:eastAsia="Calibri"/>
          <w:sz w:val="24"/>
          <w:szCs w:val="24"/>
        </w:rPr>
        <w:t>9</w:t>
      </w:r>
      <w:r w:rsidRPr="00F136B4">
        <w:rPr>
          <w:rFonts w:eastAsia="Calibri"/>
          <w:sz w:val="24"/>
          <w:szCs w:val="24"/>
        </w:rPr>
        <w:t xml:space="preserve"> года</w:t>
      </w:r>
      <w:r w:rsidRPr="00843EA1">
        <w:rPr>
          <w:rFonts w:eastAsia="Calibri"/>
          <w:sz w:val="24"/>
          <w:szCs w:val="24"/>
        </w:rPr>
        <w:t xml:space="preserve"> в городском округе хозяйственную деятельность начали осуществлять 20 вновь созданных предприятий торговли и услуг (38 постоянных рабочих места).</w:t>
      </w:r>
    </w:p>
    <w:p w:rsidR="00843EA1" w:rsidRPr="00843EA1" w:rsidRDefault="00843EA1" w:rsidP="00843EA1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843EA1">
        <w:rPr>
          <w:rFonts w:eastAsia="Calibri"/>
          <w:sz w:val="24"/>
          <w:szCs w:val="24"/>
        </w:rPr>
        <w:t>Кроме того, на универсальных рынках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животноводством, определено 15</w:t>
      </w:r>
      <w:r w:rsidR="00D0645A">
        <w:rPr>
          <w:rFonts w:eastAsia="Calibri"/>
          <w:sz w:val="24"/>
          <w:szCs w:val="24"/>
        </w:rPr>
        <w:t>,0</w:t>
      </w:r>
      <w:r w:rsidRPr="00843EA1">
        <w:rPr>
          <w:rFonts w:eastAsia="Calibri"/>
          <w:sz w:val="24"/>
          <w:szCs w:val="24"/>
        </w:rPr>
        <w:t>% от общего количества торговых мест, предназначенных для продажи продовольственных товаров в летнее время и 10</w:t>
      </w:r>
      <w:r w:rsidR="00D0645A">
        <w:rPr>
          <w:rFonts w:eastAsia="Calibri"/>
          <w:sz w:val="24"/>
          <w:szCs w:val="24"/>
        </w:rPr>
        <w:t>,0</w:t>
      </w:r>
      <w:r w:rsidRPr="00843EA1">
        <w:rPr>
          <w:rFonts w:eastAsia="Calibri"/>
          <w:sz w:val="24"/>
          <w:szCs w:val="24"/>
        </w:rPr>
        <w:t>% в зимнее время.</w:t>
      </w:r>
    </w:p>
    <w:p w:rsidR="00814792" w:rsidRDefault="00843EA1" w:rsidP="00843EA1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843EA1">
        <w:rPr>
          <w:rFonts w:eastAsia="Calibri"/>
          <w:sz w:val="24"/>
          <w:szCs w:val="24"/>
        </w:rPr>
        <w:t>Оборот розничной торговли в 1 полугодии 2019 года увеличился на 5,5% в действующих ценах по сравнению с соответствующим периодом прошлого</w:t>
      </w:r>
      <w:r w:rsidR="00AD0866">
        <w:rPr>
          <w:rFonts w:eastAsia="Calibri"/>
          <w:sz w:val="24"/>
          <w:szCs w:val="24"/>
        </w:rPr>
        <w:t xml:space="preserve"> года и составил 89,7 млрд. рублей</w:t>
      </w:r>
      <w:r w:rsidRPr="00843EA1">
        <w:rPr>
          <w:rFonts w:eastAsia="Calibri"/>
          <w:sz w:val="24"/>
          <w:szCs w:val="24"/>
        </w:rPr>
        <w:t xml:space="preserve"> (в сопоставимых ценах на 0,1%). </w:t>
      </w:r>
    </w:p>
    <w:p w:rsidR="00843EA1" w:rsidRDefault="00A13E21" w:rsidP="00843EA1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 итогам полугодия городской округ Тольятти по обороту розничной торговли занял 2 место </w:t>
      </w:r>
      <w:r w:rsidR="00C95BA9">
        <w:rPr>
          <w:rFonts w:eastAsia="Calibri"/>
          <w:sz w:val="24"/>
          <w:szCs w:val="24"/>
        </w:rPr>
        <w:t>среди городских округов С</w:t>
      </w:r>
      <w:r>
        <w:rPr>
          <w:rFonts w:eastAsia="Calibri"/>
          <w:sz w:val="24"/>
          <w:szCs w:val="24"/>
        </w:rPr>
        <w:t>амарской области.</w:t>
      </w:r>
    </w:p>
    <w:p w:rsidR="00843EA1" w:rsidRPr="00843EA1" w:rsidRDefault="00814792" w:rsidP="00814792">
      <w:pPr>
        <w:pStyle w:val="aff0"/>
        <w:spacing w:line="276" w:lineRule="auto"/>
        <w:rPr>
          <w:rFonts w:eastAsia="Calibri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Оборот розничной торговли на душу населения в январе-июне 2019 года сложился выше среднеобластного значения и составил 127,7 тыс. рублей </w:t>
      </w:r>
      <w:r w:rsidRPr="00843EA1">
        <w:rPr>
          <w:rFonts w:eastAsia="Calibri"/>
          <w:sz w:val="24"/>
          <w:szCs w:val="24"/>
        </w:rPr>
        <w:t>(в целом по Самар</w:t>
      </w:r>
      <w:r>
        <w:rPr>
          <w:rFonts w:eastAsia="Calibri"/>
          <w:sz w:val="24"/>
          <w:szCs w:val="24"/>
        </w:rPr>
        <w:t>ской области – 102,9 тыс. руб</w:t>
      </w:r>
      <w:r w:rsidR="00AD0866">
        <w:rPr>
          <w:rFonts w:eastAsia="Calibri"/>
          <w:sz w:val="24"/>
          <w:szCs w:val="24"/>
        </w:rPr>
        <w:t>лей</w:t>
      </w:r>
      <w:r>
        <w:rPr>
          <w:rFonts w:eastAsia="Calibri"/>
          <w:sz w:val="24"/>
          <w:szCs w:val="24"/>
        </w:rPr>
        <w:t>)</w:t>
      </w:r>
      <w:r>
        <w:rPr>
          <w:sz w:val="24"/>
          <w:szCs w:val="24"/>
          <w:shd w:val="clear" w:color="auto" w:fill="FFFFFF"/>
        </w:rPr>
        <w:t xml:space="preserve">, городской округ Тольятти занял </w:t>
      </w:r>
      <w:r w:rsidRPr="00814792">
        <w:rPr>
          <w:sz w:val="24"/>
          <w:szCs w:val="24"/>
          <w:shd w:val="clear" w:color="auto" w:fill="FFFFFF"/>
        </w:rPr>
        <w:t>второе место</w:t>
      </w:r>
      <w:r>
        <w:rPr>
          <w:sz w:val="24"/>
          <w:szCs w:val="24"/>
          <w:shd w:val="clear" w:color="auto" w:fill="FFFFFF"/>
        </w:rPr>
        <w:t xml:space="preserve"> в рейтинге городских округов Самарской области по данному показателю и </w:t>
      </w:r>
      <w:r w:rsidRPr="00814792">
        <w:rPr>
          <w:sz w:val="24"/>
          <w:szCs w:val="24"/>
          <w:shd w:val="clear" w:color="auto" w:fill="FFFFFF"/>
        </w:rPr>
        <w:t>шестое место</w:t>
      </w:r>
      <w:r>
        <w:rPr>
          <w:sz w:val="24"/>
          <w:szCs w:val="24"/>
          <w:shd w:val="clear" w:color="auto" w:fill="FFFFFF"/>
        </w:rPr>
        <w:t xml:space="preserve"> относительно региональных центров Приволжского федерального округа. </w:t>
      </w:r>
      <w:r w:rsidR="00843EA1" w:rsidRPr="00843EA1">
        <w:rPr>
          <w:rFonts w:eastAsia="Calibri"/>
          <w:sz w:val="24"/>
          <w:szCs w:val="24"/>
        </w:rPr>
        <w:t>Основную часть оборо</w:t>
      </w:r>
      <w:r w:rsidR="00C95BA9">
        <w:rPr>
          <w:rFonts w:eastAsia="Calibri"/>
          <w:sz w:val="24"/>
          <w:szCs w:val="24"/>
        </w:rPr>
        <w:t>та розничной торговли (около 60</w:t>
      </w:r>
      <w:r w:rsidR="00D0645A">
        <w:rPr>
          <w:rFonts w:eastAsia="Calibri"/>
          <w:sz w:val="24"/>
          <w:szCs w:val="24"/>
        </w:rPr>
        <w:t>,0</w:t>
      </w:r>
      <w:r w:rsidR="00843EA1" w:rsidRPr="00843EA1">
        <w:rPr>
          <w:rFonts w:eastAsia="Calibri"/>
          <w:sz w:val="24"/>
          <w:szCs w:val="24"/>
        </w:rPr>
        <w:t>%) формируют предприятия малого бизнеса и лица, занимающиеся индивидуальной трудовой деятельностью</w:t>
      </w:r>
      <w:r w:rsidR="00A13E21">
        <w:rPr>
          <w:rFonts w:eastAsia="Calibri"/>
          <w:sz w:val="24"/>
          <w:szCs w:val="24"/>
        </w:rPr>
        <w:t>.</w:t>
      </w:r>
    </w:p>
    <w:p w:rsidR="00843EA1" w:rsidRPr="00843EA1" w:rsidRDefault="00843EA1" w:rsidP="00843EA1">
      <w:pPr>
        <w:widowControl w:val="0"/>
        <w:spacing w:line="300" w:lineRule="auto"/>
        <w:ind w:firstLine="709"/>
        <w:jc w:val="both"/>
        <w:rPr>
          <w:rFonts w:eastAsia="Calibri"/>
          <w:sz w:val="24"/>
          <w:szCs w:val="24"/>
        </w:rPr>
      </w:pPr>
    </w:p>
    <w:p w:rsidR="00843EA1" w:rsidRPr="00843EA1" w:rsidRDefault="00843EA1" w:rsidP="00843EA1">
      <w:pPr>
        <w:widowControl w:val="0"/>
        <w:spacing w:line="300" w:lineRule="auto"/>
        <w:ind w:firstLine="709"/>
        <w:jc w:val="center"/>
        <w:rPr>
          <w:rFonts w:eastAsia="Calibri"/>
          <w:sz w:val="24"/>
          <w:szCs w:val="24"/>
        </w:rPr>
      </w:pPr>
      <w:r w:rsidRPr="00843EA1">
        <w:rPr>
          <w:rFonts w:eastAsia="Calibri"/>
          <w:sz w:val="24"/>
          <w:szCs w:val="24"/>
        </w:rPr>
        <w:t>Ожидаемое выполнение прогнозных показателей по разделу «Потребительский рынок»</w:t>
      </w:r>
      <w:r w:rsidR="00C95BA9">
        <w:rPr>
          <w:rFonts w:eastAsia="Calibri"/>
          <w:sz w:val="24"/>
          <w:szCs w:val="24"/>
        </w:rPr>
        <w:t xml:space="preserve"> </w:t>
      </w:r>
      <w:r w:rsidRPr="00843EA1">
        <w:rPr>
          <w:rFonts w:eastAsia="Calibri"/>
          <w:sz w:val="24"/>
          <w:szCs w:val="24"/>
        </w:rPr>
        <w:t>на 2019 год</w:t>
      </w:r>
    </w:p>
    <w:p w:rsidR="00843EA1" w:rsidRPr="00B15367" w:rsidRDefault="00843EA1" w:rsidP="00843EA1">
      <w:pPr>
        <w:pStyle w:val="230"/>
        <w:keepNext/>
        <w:keepLines/>
        <w:spacing w:after="0" w:line="276" w:lineRule="auto"/>
        <w:ind w:left="0"/>
        <w:jc w:val="center"/>
        <w:rPr>
          <w:bCs/>
          <w:sz w:val="24"/>
          <w:szCs w:val="24"/>
          <w:highlight w:val="yellow"/>
        </w:rPr>
      </w:pPr>
    </w:p>
    <w:tbl>
      <w:tblPr>
        <w:tblW w:w="938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028"/>
        <w:gridCol w:w="1255"/>
        <w:gridCol w:w="1255"/>
        <w:gridCol w:w="1379"/>
        <w:gridCol w:w="1235"/>
        <w:gridCol w:w="1235"/>
      </w:tblGrid>
      <w:tr w:rsidR="00843EA1" w:rsidRPr="00B15367" w:rsidTr="002E2E87">
        <w:trPr>
          <w:cantSplit/>
          <w:trHeight w:val="257"/>
        </w:trPr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3EA1" w:rsidRPr="00B375FC" w:rsidRDefault="00843EA1" w:rsidP="002E2E87">
            <w:pPr>
              <w:pStyle w:val="230"/>
              <w:keepNext/>
              <w:keepLines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B375FC">
              <w:rPr>
                <w:sz w:val="24"/>
                <w:szCs w:val="24"/>
              </w:rPr>
              <w:t>Показатели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3EA1" w:rsidRPr="00B375FC" w:rsidRDefault="00843EA1" w:rsidP="002E2E87">
            <w:pPr>
              <w:pStyle w:val="230"/>
              <w:keepNext/>
              <w:keepLines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B375FC">
              <w:rPr>
                <w:sz w:val="24"/>
                <w:szCs w:val="24"/>
              </w:rPr>
              <w:t>Ед. изм.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1" w:rsidRPr="00B375FC" w:rsidRDefault="00843EA1" w:rsidP="002E2E87">
            <w:pPr>
              <w:spacing w:line="276" w:lineRule="auto"/>
              <w:jc w:val="center"/>
            </w:pPr>
            <w:r w:rsidRPr="00B375FC">
              <w:t>Прогноз на 2019 год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1" w:rsidRPr="00B375FC" w:rsidRDefault="00843EA1" w:rsidP="002E2E87">
            <w:pPr>
              <w:spacing w:line="276" w:lineRule="auto"/>
              <w:jc w:val="center"/>
            </w:pPr>
            <w:r w:rsidRPr="00B375FC">
              <w:t>2019 год (оценка)</w:t>
            </w:r>
          </w:p>
        </w:tc>
      </w:tr>
      <w:tr w:rsidR="00843EA1" w:rsidRPr="00B15367" w:rsidTr="002E2E87">
        <w:trPr>
          <w:cantSplit/>
          <w:trHeight w:val="284"/>
        </w:trPr>
        <w:tc>
          <w:tcPr>
            <w:tcW w:w="3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3EA1" w:rsidRPr="00B375FC" w:rsidRDefault="00843EA1" w:rsidP="002E2E87">
            <w:pPr>
              <w:suppressAutoHyphens w:val="0"/>
              <w:spacing w:line="276" w:lineRule="auto"/>
              <w:jc w:val="center"/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3EA1" w:rsidRPr="00B375FC" w:rsidRDefault="00843EA1" w:rsidP="002E2E87">
            <w:pPr>
              <w:suppressAutoHyphens w:val="0"/>
              <w:spacing w:line="276" w:lineRule="auto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3EA1" w:rsidRPr="00B375FC" w:rsidRDefault="00843EA1" w:rsidP="002E2E87">
            <w:pPr>
              <w:keepNext/>
              <w:keepLines/>
              <w:spacing w:line="276" w:lineRule="auto"/>
              <w:jc w:val="center"/>
            </w:pPr>
            <w:r w:rsidRPr="00B375FC">
              <w:t>1 вариант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3EA1" w:rsidRPr="00B375FC" w:rsidRDefault="00843EA1" w:rsidP="002E2E87">
            <w:pPr>
              <w:keepNext/>
              <w:keepLines/>
              <w:spacing w:line="276" w:lineRule="auto"/>
              <w:jc w:val="center"/>
            </w:pPr>
            <w:r w:rsidRPr="00B375FC">
              <w:t>2 вариант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1" w:rsidRPr="00B375FC" w:rsidRDefault="00843EA1" w:rsidP="002E2E87">
            <w:pPr>
              <w:suppressAutoHyphens w:val="0"/>
              <w:spacing w:line="276" w:lineRule="auto"/>
              <w:jc w:val="center"/>
            </w:pPr>
            <w:r>
              <w:t>3 вариант</w:t>
            </w:r>
          </w:p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EA1" w:rsidRPr="00B375FC" w:rsidRDefault="00843EA1" w:rsidP="002E2E87">
            <w:pPr>
              <w:suppressAutoHyphens w:val="0"/>
              <w:spacing w:line="276" w:lineRule="auto"/>
              <w:jc w:val="center"/>
            </w:pPr>
          </w:p>
        </w:tc>
      </w:tr>
      <w:tr w:rsidR="00843EA1" w:rsidRPr="00B15367" w:rsidTr="002E2E87">
        <w:trPr>
          <w:trHeight w:val="401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3EA1" w:rsidRPr="00B375FC" w:rsidRDefault="00843EA1" w:rsidP="00C95BA9">
            <w:pPr>
              <w:pStyle w:val="230"/>
              <w:keepNext/>
              <w:keepLines/>
              <w:spacing w:after="0" w:line="240" w:lineRule="auto"/>
              <w:ind w:left="0"/>
              <w:rPr>
                <w:sz w:val="24"/>
                <w:szCs w:val="24"/>
              </w:rPr>
            </w:pPr>
            <w:r w:rsidRPr="00B375FC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3EA1" w:rsidRPr="00B375FC" w:rsidRDefault="00843EA1" w:rsidP="00C95BA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375FC">
              <w:rPr>
                <w:sz w:val="24"/>
                <w:szCs w:val="24"/>
              </w:rPr>
              <w:t>млн</w:t>
            </w:r>
            <w:r w:rsidR="00AD0866">
              <w:rPr>
                <w:sz w:val="24"/>
                <w:szCs w:val="24"/>
              </w:rPr>
              <w:t>. рублей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3EA1" w:rsidRPr="00B375FC" w:rsidRDefault="00843EA1" w:rsidP="00C95BA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375FC">
              <w:rPr>
                <w:sz w:val="24"/>
                <w:szCs w:val="24"/>
              </w:rPr>
              <w:t>183 127,0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3EA1" w:rsidRPr="00B375FC" w:rsidRDefault="00843EA1" w:rsidP="00C95BA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375FC">
              <w:rPr>
                <w:sz w:val="24"/>
                <w:szCs w:val="24"/>
              </w:rPr>
              <w:t>184 132,0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EA1" w:rsidRDefault="00843EA1" w:rsidP="00C95BA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843EA1" w:rsidRDefault="00843EA1" w:rsidP="00C95BA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187 714,6</w:t>
            </w:r>
          </w:p>
          <w:p w:rsidR="00843EA1" w:rsidRPr="00B375FC" w:rsidRDefault="00843EA1" w:rsidP="00C95BA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EA1" w:rsidRPr="00B375FC" w:rsidRDefault="00843EA1" w:rsidP="00C95BA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375FC">
              <w:rPr>
                <w:sz w:val="24"/>
                <w:szCs w:val="24"/>
              </w:rPr>
              <w:t>186 268,5</w:t>
            </w:r>
          </w:p>
        </w:tc>
      </w:tr>
      <w:tr w:rsidR="00C95BA9" w:rsidRPr="00B15367" w:rsidTr="002E2E87">
        <w:trPr>
          <w:trHeight w:val="401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BA9" w:rsidRPr="00FA2DF3" w:rsidRDefault="00C95BA9" w:rsidP="00C95BA9">
            <w:pPr>
              <w:pStyle w:val="230"/>
              <w:keepNext/>
              <w:keepLines/>
              <w:spacing w:after="0" w:line="240" w:lineRule="auto"/>
              <w:ind w:left="0"/>
              <w:rPr>
                <w:sz w:val="24"/>
                <w:szCs w:val="24"/>
              </w:rPr>
            </w:pPr>
            <w:r w:rsidRPr="00FA2DF3">
              <w:rPr>
                <w:sz w:val="24"/>
                <w:szCs w:val="24"/>
              </w:rPr>
              <w:t>Индекс физического объема оборота розничной торговли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BA9" w:rsidRPr="00FA2DF3" w:rsidRDefault="00C95BA9" w:rsidP="00C95BA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A2DF3">
              <w:rPr>
                <w:sz w:val="24"/>
                <w:szCs w:val="24"/>
              </w:rPr>
              <w:t>%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BA9" w:rsidRPr="00FA2DF3" w:rsidRDefault="00FA2DF3" w:rsidP="00C95BA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A2DF3">
              <w:rPr>
                <w:sz w:val="24"/>
                <w:szCs w:val="24"/>
              </w:rPr>
              <w:t>99,5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BA9" w:rsidRPr="00FA2DF3" w:rsidRDefault="00FA2DF3" w:rsidP="00C95BA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FA2DF3">
              <w:rPr>
                <w:sz w:val="24"/>
                <w:szCs w:val="24"/>
              </w:rPr>
              <w:t>100,0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A9" w:rsidRDefault="00C95BA9" w:rsidP="00C95BA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FA2DF3" w:rsidRDefault="00FA2DF3" w:rsidP="00C95BA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BA9" w:rsidRPr="00B375FC" w:rsidRDefault="00C95BA9" w:rsidP="00C95BA9">
            <w:pPr>
              <w:pStyle w:val="230"/>
              <w:keepNext/>
              <w:keepLines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</w:tbl>
    <w:p w:rsidR="00860E97" w:rsidRDefault="00860E97" w:rsidP="00843EA1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</w:p>
    <w:p w:rsidR="00843EA1" w:rsidRDefault="00843EA1" w:rsidP="00843EA1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843EA1">
        <w:rPr>
          <w:rFonts w:eastAsia="Calibri"/>
          <w:sz w:val="24"/>
          <w:szCs w:val="24"/>
        </w:rPr>
        <w:lastRenderedPageBreak/>
        <w:t>Учитывая замедл</w:t>
      </w:r>
      <w:r w:rsidR="00C95BA9">
        <w:rPr>
          <w:rFonts w:eastAsia="Calibri"/>
          <w:sz w:val="24"/>
          <w:szCs w:val="24"/>
        </w:rPr>
        <w:t>ение</w:t>
      </w:r>
      <w:r w:rsidRPr="00843EA1">
        <w:rPr>
          <w:rFonts w:eastAsia="Calibri"/>
          <w:sz w:val="24"/>
          <w:szCs w:val="24"/>
        </w:rPr>
        <w:t xml:space="preserve"> </w:t>
      </w:r>
      <w:r w:rsidR="00C95BA9">
        <w:rPr>
          <w:rFonts w:eastAsia="Calibri"/>
          <w:sz w:val="24"/>
          <w:szCs w:val="24"/>
        </w:rPr>
        <w:t>темпов</w:t>
      </w:r>
      <w:r w:rsidRPr="00843EA1">
        <w:rPr>
          <w:rFonts w:eastAsia="Calibri"/>
          <w:sz w:val="24"/>
          <w:szCs w:val="24"/>
        </w:rPr>
        <w:t xml:space="preserve"> роста показателя в связи с повышени</w:t>
      </w:r>
      <w:r w:rsidR="00C95BA9">
        <w:rPr>
          <w:rFonts w:eastAsia="Calibri"/>
          <w:sz w:val="24"/>
          <w:szCs w:val="24"/>
        </w:rPr>
        <w:t>ем</w:t>
      </w:r>
      <w:r w:rsidRPr="00843EA1">
        <w:rPr>
          <w:rFonts w:eastAsia="Calibri"/>
          <w:sz w:val="24"/>
          <w:szCs w:val="24"/>
        </w:rPr>
        <w:t xml:space="preserve"> налога на добавленную стоимость с 1 января 2019 года, а также динамику роста реальной заработной платы в 1 полугодии 2019 года, оборот розничной торговли по итогам 2019 года мож</w:t>
      </w:r>
      <w:r w:rsidR="00AD0866">
        <w:rPr>
          <w:rFonts w:eastAsia="Calibri"/>
          <w:sz w:val="24"/>
          <w:szCs w:val="24"/>
        </w:rPr>
        <w:t>ет составить 186 268,5 млн. рублей</w:t>
      </w:r>
      <w:r w:rsidRPr="00843EA1">
        <w:rPr>
          <w:rFonts w:eastAsia="Calibri"/>
          <w:sz w:val="24"/>
          <w:szCs w:val="24"/>
        </w:rPr>
        <w:t xml:space="preserve"> с индексом физического объема к предыдущему году 100,1%. </w:t>
      </w:r>
    </w:p>
    <w:p w:rsidR="00843EA1" w:rsidRPr="00843EA1" w:rsidRDefault="00843EA1" w:rsidP="00843EA1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843EA1">
        <w:rPr>
          <w:rFonts w:eastAsia="Calibri"/>
          <w:sz w:val="24"/>
          <w:szCs w:val="24"/>
        </w:rPr>
        <w:t>В целях развития потребительского рынка, поддержки местных товаропроизводителей, конкурентной среды, а также для снижения и стабилизации цен на товары и услуги в отчетном периоде реализовывались мероприятия:</w:t>
      </w:r>
    </w:p>
    <w:p w:rsidR="00843EA1" w:rsidRPr="00843EA1" w:rsidRDefault="00843EA1" w:rsidP="00843EA1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843EA1">
        <w:rPr>
          <w:rFonts w:eastAsia="Calibri"/>
          <w:sz w:val="24"/>
          <w:szCs w:val="24"/>
        </w:rPr>
        <w:t>- мониторинг розничных цен на социально значимые продовольственные товары на предприятиях розничной торговли;</w:t>
      </w:r>
    </w:p>
    <w:p w:rsidR="00843EA1" w:rsidRPr="00843EA1" w:rsidRDefault="00843EA1" w:rsidP="00843EA1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843EA1">
        <w:rPr>
          <w:rFonts w:eastAsia="Calibri"/>
          <w:sz w:val="24"/>
          <w:szCs w:val="24"/>
        </w:rPr>
        <w:t xml:space="preserve">- мониторинг розничных цен на продовольственные товары и сельскохозяйственную продукцию на рынках и ярмарках. </w:t>
      </w:r>
    </w:p>
    <w:p w:rsidR="00843EA1" w:rsidRPr="00843EA1" w:rsidRDefault="00843EA1" w:rsidP="00843EA1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843EA1">
        <w:rPr>
          <w:rFonts w:eastAsia="Calibri"/>
          <w:sz w:val="24"/>
          <w:szCs w:val="24"/>
        </w:rPr>
        <w:t xml:space="preserve">- мониторинг розничных цен по бензину и дизельному топливу на АЗС городского округа Тольятти. </w:t>
      </w:r>
    </w:p>
    <w:p w:rsidR="00843EA1" w:rsidRPr="00843EA1" w:rsidRDefault="00843EA1" w:rsidP="00843EA1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843EA1">
        <w:rPr>
          <w:rFonts w:eastAsia="Calibri"/>
          <w:sz w:val="24"/>
          <w:szCs w:val="24"/>
        </w:rPr>
        <w:t>Анализ динамики цен показывает, что резких скачков в сторону увеличения цен на социально значимые продовольственные товары в городском округе не наблюдается.</w:t>
      </w:r>
    </w:p>
    <w:p w:rsidR="008B6D01" w:rsidRPr="00843EA1" w:rsidRDefault="00843EA1" w:rsidP="00843EA1">
      <w:pPr>
        <w:widowControl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843EA1">
        <w:rPr>
          <w:rFonts w:eastAsia="Calibri"/>
          <w:sz w:val="24"/>
          <w:szCs w:val="24"/>
        </w:rPr>
        <w:t>Данные мониторингов заносятся в систему мониторинга (шаблон) и ежемесячно передаются в департамент ценового и тарифного регулирования министерства экономического развития, инвестиций и торговли Самарской области посредством Регионального сегмента ЕИАС ФСТ России «ЕИАС мониторинг» (Единой Информационной Аналитической Системой Федеральной службы по тарифам России).</w:t>
      </w:r>
    </w:p>
    <w:p w:rsidR="005D0850" w:rsidRDefault="005D0850" w:rsidP="00443EE9">
      <w:pPr>
        <w:spacing w:line="276" w:lineRule="auto"/>
        <w:jc w:val="center"/>
        <w:rPr>
          <w:b/>
          <w:sz w:val="24"/>
          <w:szCs w:val="24"/>
          <w:shd w:val="clear" w:color="auto" w:fill="FFFFFF"/>
        </w:rPr>
      </w:pPr>
    </w:p>
    <w:p w:rsidR="004D3812" w:rsidRPr="0009173C" w:rsidRDefault="004D3812" w:rsidP="00443EE9">
      <w:pPr>
        <w:spacing w:line="276" w:lineRule="auto"/>
        <w:jc w:val="center"/>
        <w:rPr>
          <w:b/>
          <w:sz w:val="24"/>
          <w:szCs w:val="24"/>
          <w:shd w:val="clear" w:color="auto" w:fill="FFFFFF"/>
        </w:rPr>
      </w:pPr>
      <w:r w:rsidRPr="0009173C">
        <w:rPr>
          <w:b/>
          <w:sz w:val="24"/>
          <w:szCs w:val="24"/>
          <w:shd w:val="clear" w:color="auto" w:fill="FFFFFF"/>
        </w:rPr>
        <w:t>Охрана окружающей среды</w:t>
      </w:r>
      <w:bookmarkStart w:id="11" w:name="экология"/>
      <w:bookmarkEnd w:id="11"/>
    </w:p>
    <w:p w:rsidR="004D3812" w:rsidRPr="0009173C" w:rsidRDefault="004D3812" w:rsidP="00443EE9">
      <w:pPr>
        <w:spacing w:line="276" w:lineRule="auto"/>
        <w:jc w:val="center"/>
        <w:rPr>
          <w:b/>
          <w:sz w:val="24"/>
          <w:szCs w:val="24"/>
          <w:shd w:val="clear" w:color="auto" w:fill="FFFFFF"/>
        </w:rPr>
      </w:pP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>Состояние окружающей среды городского округа Тольятти, обусловленное наличием на его территории крупных промышленных и автотранспортных предприятий, создает необходимость проводить целенаправленную экологическую политику.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>Систематическое наблюдение за содержанием в атмосферном воздухе вредных веществ на территории городского округа Тольятти осуществляется Тольяттинской специализированной гидрометеорологической обсерваторией. Наблюдения за качеством атмосферного воздуха проводятся на 8 стационарных постах наблюдения (ПНЗ). На ПНЗ осуществляются наблюдения за содержанием в воздухе основных (пыль, диоксид азота, оксид азота, оксид углерода, диоксид серы) примесей и специфических (аммиак, формальдегид, фтористый водород, суммарные углеводороды, бензол, толуол, этилбензол и ксилол).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>Основными загрязняющими веществами воздушного бассейна города в 1 полугодии 2019 года являлись аммиак, формальдегид. Содержание остальных примесей находилось в пределах нормы. Случаев высокого и экстремально высокого загрязнения атмосферного воздуха на территории городского округа Тольятти не зарегистрировано.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>За 1 полугодие 2019 года было составлено 599 предупреждений для одиночных источников и  10 предупреждений по городу в целом. Всего за 1 полугодие 2019 года отмечено 52 дня с неблагоприятными метеорологическими условиями (НМУ).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 xml:space="preserve">Во исполнение постановления Правительства Самарской области от 24.11.2010 № 596 «Об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</w:t>
      </w:r>
      <w:r w:rsidRPr="00B147D5">
        <w:rPr>
          <w:rFonts w:eastAsia="Calibri"/>
          <w:sz w:val="24"/>
          <w:szCs w:val="24"/>
        </w:rPr>
        <w:lastRenderedPageBreak/>
        <w:t>территории Самарской области» на официальном портале администрации городского округа Тольятти в разделе городского хозяйства осуществляется информирование населения о наступлении НМУ по данным Тольяттинской СГМО ФГБУ «Приволжское УГМС».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>В целях информирования населения о состоянии экологии в городе на официальном портале администрации городского округа Тольятти (eco.tgl.ru) размещен электронный «Экологический атлас городского округа Тольятти», один из слоев которого отражает (в цветовом и количественном выражении) уровень загрязнения атмосферного воздуха по 8-ми стационарным постам наблюдения. Данные по загрязнению воздуха размещаются в Экологическом атласе по мере поступления данных Тольяттинской СГМО и доступны для всех жителей города.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 xml:space="preserve">К основным экологическим проблемам городского округа Тольятти относятся: 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 xml:space="preserve">Наличие отходов 1-4 классов опасности, а также радиационного загрязнения в районе цеха № 81 на территории промплощадки бывшего ОАО «Фосфор». 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>В настоящее время собственник отходов и веществ не установлен.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 xml:space="preserve">У администрации городского округа Тольятти отсутствует  правовое основание на выделение средств из бюджета городского округа Тольятти на разработку и согласование проектно-сметной документации и организацию мероприятий по ликвидации отходов, в связи с тем, что   земельный участок находится в собственности Российской Федерации и  в соответствии  с нормами действующего законодательства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городских округов. Рассматриваемые отходы являются промышленными и не подпадают под категорию коммунальных отходов.    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 xml:space="preserve">В целях решения вопроса по утилизации опасных отходов за счет средств вышестоящих бюджетов администрацией </w:t>
      </w:r>
      <w:r w:rsidR="00992C1B">
        <w:rPr>
          <w:rFonts w:eastAsia="Calibri"/>
          <w:sz w:val="24"/>
          <w:szCs w:val="24"/>
        </w:rPr>
        <w:t xml:space="preserve">городского округа Тольятти </w:t>
      </w:r>
      <w:r w:rsidRPr="00B147D5">
        <w:rPr>
          <w:rFonts w:eastAsia="Calibri"/>
          <w:sz w:val="24"/>
          <w:szCs w:val="24"/>
        </w:rPr>
        <w:t>велась постоянная работа с профильными министерствами Самарской области (Министерство промышленности и технологии Самарской области (</w:t>
      </w:r>
      <w:r>
        <w:rPr>
          <w:rFonts w:eastAsia="Calibri"/>
          <w:sz w:val="24"/>
          <w:szCs w:val="24"/>
        </w:rPr>
        <w:t xml:space="preserve">далее по разделу - </w:t>
      </w:r>
      <w:r w:rsidRPr="00B147D5">
        <w:rPr>
          <w:rFonts w:eastAsia="Calibri"/>
          <w:sz w:val="24"/>
          <w:szCs w:val="24"/>
        </w:rPr>
        <w:t xml:space="preserve">Минпром СО), </w:t>
      </w:r>
      <w:r>
        <w:rPr>
          <w:rFonts w:eastAsia="Calibri"/>
          <w:sz w:val="24"/>
          <w:szCs w:val="24"/>
        </w:rPr>
        <w:t>М</w:t>
      </w:r>
      <w:r w:rsidRPr="00B147D5">
        <w:rPr>
          <w:rFonts w:eastAsia="Calibri"/>
          <w:sz w:val="24"/>
          <w:szCs w:val="24"/>
        </w:rPr>
        <w:t xml:space="preserve">инистерство лесного хозяйства, охраны окружающей среды и природопользования Самарской области).  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 xml:space="preserve">Администрацией в Минпром СО  направлялась   документация и информация для  включения территории бывшего ОАО «Фосфор» в государственный реестр  объектов накопленного вреда окружающей среде (далее </w:t>
      </w:r>
      <w:r>
        <w:rPr>
          <w:rFonts w:eastAsia="Calibri"/>
          <w:sz w:val="24"/>
          <w:szCs w:val="24"/>
        </w:rPr>
        <w:t xml:space="preserve">по разделу </w:t>
      </w:r>
      <w:r w:rsidRPr="00B147D5">
        <w:rPr>
          <w:rFonts w:eastAsia="Calibri"/>
          <w:sz w:val="24"/>
          <w:szCs w:val="24"/>
        </w:rPr>
        <w:t xml:space="preserve">– реестр ОНВОС) для последующей ликвидации прошлого экологического ущерба в рамках Государственной программы. 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 xml:space="preserve">Во включении было отказано, в связи с недостаточностью представленной  информации и материалов, которые возможно получить только в ходе инженерно-изыскательских исследований. 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>7 ноября 2018 г</w:t>
      </w:r>
      <w:r>
        <w:rPr>
          <w:rFonts w:eastAsia="Calibri"/>
          <w:sz w:val="24"/>
          <w:szCs w:val="24"/>
        </w:rPr>
        <w:t>ода</w:t>
      </w:r>
      <w:r w:rsidRPr="00B147D5">
        <w:rPr>
          <w:rFonts w:eastAsia="Calibri"/>
          <w:sz w:val="24"/>
          <w:szCs w:val="24"/>
        </w:rPr>
        <w:t xml:space="preserve"> в Минпроме СО проведено совещание по поручению Губернатора Самарской области Д.И. Азарова о проработке вопроса по ОАО «Фосфор» по первоочередным мероприятиям. По итогам принято решение о необходимости разработки технико-экономического обоснования ликвидации очагов загрязнения желтым фосфором бывшего ОАО «Фосфор» (далее </w:t>
      </w:r>
      <w:r>
        <w:rPr>
          <w:rFonts w:eastAsia="Calibri"/>
          <w:sz w:val="24"/>
          <w:szCs w:val="24"/>
        </w:rPr>
        <w:t xml:space="preserve">по разделу </w:t>
      </w:r>
      <w:r w:rsidRPr="00B147D5">
        <w:rPr>
          <w:rFonts w:eastAsia="Calibri"/>
          <w:sz w:val="24"/>
          <w:szCs w:val="24"/>
        </w:rPr>
        <w:t xml:space="preserve">– ТЭО), в рамках которого планируется </w:t>
      </w:r>
      <w:r w:rsidRPr="00B147D5">
        <w:rPr>
          <w:rFonts w:eastAsia="Calibri"/>
          <w:sz w:val="24"/>
          <w:szCs w:val="24"/>
        </w:rPr>
        <w:lastRenderedPageBreak/>
        <w:t xml:space="preserve">выполнение инженерно-геодезического изыскания, инженерно-экологическое обследование, разработка ТЭО. 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 xml:space="preserve">На основании вышеизложенного и в соответствии </w:t>
      </w:r>
      <w:r w:rsidR="00992C1B">
        <w:rPr>
          <w:rFonts w:eastAsia="Calibri"/>
          <w:sz w:val="24"/>
          <w:szCs w:val="24"/>
        </w:rPr>
        <w:t xml:space="preserve">с </w:t>
      </w:r>
      <w:r w:rsidRPr="00B147D5">
        <w:rPr>
          <w:rFonts w:eastAsia="Calibri"/>
          <w:sz w:val="24"/>
          <w:szCs w:val="24"/>
        </w:rPr>
        <w:t xml:space="preserve">Протоколом заседания комиссии по предупреждению и ликвидации чрезвычайных ситуация и обеспечению пожарной безопасности </w:t>
      </w:r>
      <w:r>
        <w:rPr>
          <w:rFonts w:eastAsia="Calibri"/>
          <w:sz w:val="24"/>
          <w:szCs w:val="24"/>
        </w:rPr>
        <w:t>городского округа Тольятти</w:t>
      </w:r>
      <w:r w:rsidRPr="00B147D5">
        <w:rPr>
          <w:rFonts w:eastAsia="Calibri"/>
          <w:sz w:val="24"/>
          <w:szCs w:val="24"/>
        </w:rPr>
        <w:t xml:space="preserve"> от 01.10.2019 № 8 по согласованию с Правительством Самарской области  (Министерство торговли и промышленности Самарской области) ситуация, сложившаяся на территориях бывшего ОАО «Фосфор»</w:t>
      </w:r>
      <w:r w:rsidR="00992C1B">
        <w:rPr>
          <w:rFonts w:eastAsia="Calibri"/>
          <w:sz w:val="24"/>
          <w:szCs w:val="24"/>
        </w:rPr>
        <w:t>,</w:t>
      </w:r>
      <w:r w:rsidRPr="00B147D5">
        <w:rPr>
          <w:rFonts w:eastAsia="Calibri"/>
          <w:sz w:val="24"/>
          <w:szCs w:val="24"/>
        </w:rPr>
        <w:t xml:space="preserve"> признана угрозой возникновения ЧС (постановление администрации </w:t>
      </w:r>
      <w:r>
        <w:rPr>
          <w:rFonts w:eastAsia="Calibri"/>
          <w:sz w:val="24"/>
          <w:szCs w:val="24"/>
        </w:rPr>
        <w:t>городского округа Тольятти</w:t>
      </w:r>
      <w:r w:rsidRPr="00B147D5">
        <w:rPr>
          <w:rFonts w:eastAsia="Calibri"/>
          <w:sz w:val="24"/>
          <w:szCs w:val="24"/>
        </w:rPr>
        <w:t xml:space="preserve"> от 02.10.2019 № 2642-п/1), введен режим «ПОВЫШЕННОЙ ГОТОВНОСТИ», установлены зоны угрозы возникновения ЧС – земельный участок с кадастровым № 63:09:0302053, территория шламоотвального хозяйства, расположенного в кварталах 41,47, 48 Тольяттинского лесничества, создан оперативный штаб по ликвидации угрозы возникновения ЧС, разработан План мероприятий по обеспечению защиты населения от угрозы возникновения ЧС. 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>Кроме этого, разработана дорожная карта по организации работы по включению территории бывшего ОАО «Фосфор» а государственный реестр объектов накопленного вреда и механизм перераспредел</w:t>
      </w:r>
      <w:r>
        <w:rPr>
          <w:rFonts w:eastAsia="Calibri"/>
          <w:sz w:val="24"/>
          <w:szCs w:val="24"/>
        </w:rPr>
        <w:t>ения средств областного бюджета.</w:t>
      </w:r>
      <w:r w:rsidRPr="00B147D5">
        <w:rPr>
          <w:rFonts w:eastAsia="Calibri"/>
          <w:sz w:val="24"/>
          <w:szCs w:val="24"/>
        </w:rPr>
        <w:t xml:space="preserve">  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 xml:space="preserve">В целях контроля ситуации за бесхозяйными отходами, находящимися на территории бывшего ОАО «Фосфор», специалистами администрации </w:t>
      </w:r>
      <w:r w:rsidR="00992C1B">
        <w:rPr>
          <w:rFonts w:eastAsia="Calibri"/>
          <w:sz w:val="24"/>
          <w:szCs w:val="24"/>
        </w:rPr>
        <w:t xml:space="preserve">городского округа Тольятти </w:t>
      </w:r>
      <w:r w:rsidRPr="00B147D5">
        <w:rPr>
          <w:rFonts w:eastAsia="Calibri"/>
          <w:sz w:val="24"/>
          <w:szCs w:val="24"/>
        </w:rPr>
        <w:t xml:space="preserve">совместно со специалистами </w:t>
      </w:r>
      <w:r w:rsidR="00992C1B">
        <w:rPr>
          <w:rFonts w:eastAsia="Calibri"/>
          <w:sz w:val="24"/>
          <w:szCs w:val="24"/>
        </w:rPr>
        <w:t>М</w:t>
      </w:r>
      <w:r w:rsidRPr="00B147D5">
        <w:rPr>
          <w:rFonts w:eastAsia="Calibri"/>
          <w:sz w:val="24"/>
          <w:szCs w:val="24"/>
        </w:rPr>
        <w:t xml:space="preserve">инистерства лесного хозяйства, охраны окружающей среды и природопользования Самарской области  продолжаются регулярные обследования (ежемесячно) промплощадки. 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>Другая важная проблема - влияние на окружающую среду несанкционированных свалок отходов производства и потребления.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>В настоящее время на территории городского округа Тольятти расположено 40 несанкционированных свалок. Общая площадь, занятая отходами составляет – 43,94 Га, из них: 33 свалки, объемом 71,7 тыс. куб.м (ориентировочно) подлежат ликвидации за счет бюджетных средств.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 xml:space="preserve">На территории Комсомольского района городского округа Тольятти расположена цепь водных объектов (Васильевские озера), которые используются население в рекреационных целях. Статус указанных водных объектов не определен, они так же не включены в реестр водных объектов, в собственность не оформлены.  На основании вышеизложенного отсутствуют правовые основания проводить мероприятия по их использования.  Согласно положений Водного Кодекса РФ в муниципальную собственность  могут быть оформленные водные объекты – пруд и обводненный карьер. 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>Наиболее крупные экологические мероприятия реализовываются промышленными предприятиями за счёт собственных средств. За 1 полугодие 2019 года предприятия освоили - 927 513,5 тыс. рублей на мероприятия, направленные на охрану атмосферного воздуха, водоемов и почвы, соблюдение природоохранного законодательства.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 xml:space="preserve">Для обеспечения благоприятной окружающей среды в городском округе Тольятти реализуется муниципальная программа «Охрана окружающей среды на территории городского округа Тольятти на 2017-2021 годы», утвержденная постановлением мэрии городского округа Тольятти от 17.08.2016 № 2612-п/1 (в редакции от 15.07.2019). 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>В 2019 году запланировано проведение следующих мероприятий: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lastRenderedPageBreak/>
        <w:t>- предоставление специализированной информации о состоянии окружающей среды, ее загрязнении, которое планируется в целях получения денных о состоянии атмосферного воздуха, качества воды в водохранилищах, прогнозе пожароопасного периода и др.;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 xml:space="preserve">- демеркуризация ртутьсодержащих отходов, обнаруженных на территории городского округа Тольятти, так отходы являются 1 класса опасности и при фактах их обнаружения необходимо их немедленное удаление; </w:t>
      </w:r>
    </w:p>
    <w:p w:rsidR="00860E97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>- ликвидация несанкционированных свалок</w:t>
      </w:r>
      <w:r w:rsidR="00860E97">
        <w:rPr>
          <w:rFonts w:eastAsia="Calibri"/>
          <w:sz w:val="24"/>
          <w:szCs w:val="24"/>
        </w:rPr>
        <w:t>.</w:t>
      </w:r>
      <w:r w:rsidRPr="00B147D5">
        <w:rPr>
          <w:rFonts w:eastAsia="Calibri"/>
          <w:sz w:val="24"/>
          <w:szCs w:val="24"/>
        </w:rPr>
        <w:t xml:space="preserve"> </w:t>
      </w:r>
      <w:r w:rsidR="00860E97">
        <w:rPr>
          <w:rFonts w:eastAsia="Calibri"/>
          <w:sz w:val="24"/>
          <w:szCs w:val="24"/>
        </w:rPr>
        <w:t>При этом, в</w:t>
      </w:r>
      <w:r w:rsidRPr="00B147D5">
        <w:rPr>
          <w:rFonts w:eastAsia="Calibri"/>
          <w:sz w:val="24"/>
          <w:szCs w:val="24"/>
        </w:rPr>
        <w:t xml:space="preserve"> связи с недостаточностью финансовых средств проводится работа с собственниками (правообладателями) земельных участков для обеспечения надлежащего санитарного состояния территорий, а так же привлекаются предприятия города и волонтерские движения для оказания содействия в данном вопросе</w:t>
      </w:r>
      <w:r w:rsidR="00860E97">
        <w:rPr>
          <w:rFonts w:eastAsia="Calibri"/>
          <w:sz w:val="24"/>
          <w:szCs w:val="24"/>
        </w:rPr>
        <w:t xml:space="preserve">. </w:t>
      </w:r>
    </w:p>
    <w:p w:rsidR="00B147D5" w:rsidRPr="00B147D5" w:rsidRDefault="00860E97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Так, </w:t>
      </w:r>
      <w:r w:rsidR="00B147D5" w:rsidRPr="00B147D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B147D5" w:rsidRPr="00B147D5">
        <w:rPr>
          <w:rFonts w:eastAsia="Calibri"/>
          <w:sz w:val="24"/>
          <w:szCs w:val="24"/>
        </w:rPr>
        <w:t xml:space="preserve">АО «КуйбышевАзот» ликвидировало несанкционированную свалку объемом 760 м3, площадью 390 м2, распложенной по ул. Индустриальная, 7., </w:t>
      </w:r>
      <w:r>
        <w:rPr>
          <w:rFonts w:eastAsia="Calibri"/>
          <w:sz w:val="24"/>
          <w:szCs w:val="24"/>
        </w:rPr>
        <w:t>П</w:t>
      </w:r>
      <w:r w:rsidR="00B147D5" w:rsidRPr="00B147D5">
        <w:rPr>
          <w:rFonts w:eastAsia="Calibri"/>
          <w:sz w:val="24"/>
          <w:szCs w:val="24"/>
        </w:rPr>
        <w:t xml:space="preserve">АО «Тольяттиазот»  - объемом 500 м3, площадью 1000 м2, в районе карьера «Жигулевское море» (около Ловчего плюс), волонтеры совместно </w:t>
      </w:r>
      <w:r>
        <w:rPr>
          <w:rFonts w:eastAsia="Calibri"/>
          <w:sz w:val="24"/>
          <w:szCs w:val="24"/>
        </w:rPr>
        <w:t>П</w:t>
      </w:r>
      <w:r w:rsidR="00B147D5" w:rsidRPr="00B147D5">
        <w:rPr>
          <w:rFonts w:eastAsia="Calibri"/>
          <w:sz w:val="24"/>
          <w:szCs w:val="24"/>
        </w:rPr>
        <w:t>АО «Тольяттиазот» и ООО ТП «Шмель» ликвидировали несанкционированную свалку объемом с 60 м3 площадью 100 м2 по адресу: ул. Тюленина,8</w:t>
      </w:r>
      <w:r>
        <w:rPr>
          <w:rFonts w:eastAsia="Calibri"/>
          <w:sz w:val="24"/>
          <w:szCs w:val="24"/>
        </w:rPr>
        <w:t>;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>- обследование водных объектов (цепь Васильевских озер), расположенных на территории городского округа Тольятти для определения статуса (озеро, пруд, обводненный карьер) в целях дальнейшего рассмотрения вопрос о включении в реестр водных объектов, оформления в муниципальную собственность</w:t>
      </w:r>
      <w:r>
        <w:rPr>
          <w:rFonts w:eastAsia="Calibri"/>
          <w:sz w:val="24"/>
          <w:szCs w:val="24"/>
        </w:rPr>
        <w:t>.</w:t>
      </w:r>
    </w:p>
    <w:p w:rsidR="00B147D5" w:rsidRPr="00B147D5" w:rsidRDefault="00B958C0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Запланирована</w:t>
      </w:r>
      <w:r w:rsidR="00B147D5" w:rsidRPr="00B147D5">
        <w:rPr>
          <w:rFonts w:eastAsia="Calibri"/>
          <w:sz w:val="24"/>
          <w:szCs w:val="24"/>
        </w:rPr>
        <w:t xml:space="preserve"> разработк</w:t>
      </w:r>
      <w:r>
        <w:rPr>
          <w:rFonts w:eastAsia="Calibri"/>
          <w:sz w:val="24"/>
          <w:szCs w:val="24"/>
        </w:rPr>
        <w:t>а</w:t>
      </w:r>
      <w:r w:rsidR="00B147D5" w:rsidRPr="00B147D5">
        <w:rPr>
          <w:rFonts w:eastAsia="Calibri"/>
          <w:sz w:val="24"/>
          <w:szCs w:val="24"/>
        </w:rPr>
        <w:t xml:space="preserve"> проектной, сметной документации и производство работ по ликвидации и рекультивации массивов существующих объектов размещения отходов для муниципальных образований Самарской области: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>- разработка проектной, сметной документации по рекультивации бывшей городской свалки промышленных и бытовых отходов Комсомольского района (южнее завода ОАО «АвтоВАЗАгрегат»);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>- разработка проектной, сметной документации по рекультивации вскрытой свалки инертных отходов, расположенной напротив 1-3 вставок АО «АВТОВАЗ».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>Срок окончания выполнения работ по данным мероприятиям - 01.07.2020. В настоящее время заключены муниципальные контракты с организациями на проведение работ.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>Общая площадь лесов, расположенных в черте городского округа Тольятти, составляет 7979 га (около 30,0% от площади городского округа Тольятти).</w:t>
      </w:r>
    </w:p>
    <w:p w:rsidR="00B147D5" w:rsidRPr="00B147D5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>Постановлением администрации городского округа Тольятти от 10.07.2018 № 2025-п/1 утверждена муниципальная программа «Охрана, защита и воспроизводство лесов, расположенных в границах городского округа Тольятти, на 2019-2023 годы</w:t>
      </w:r>
      <w:r w:rsidR="00B958C0">
        <w:rPr>
          <w:rFonts w:eastAsia="Calibri"/>
          <w:sz w:val="24"/>
          <w:szCs w:val="24"/>
        </w:rPr>
        <w:t xml:space="preserve">, в рамках которой запланированы </w:t>
      </w:r>
      <w:r w:rsidRPr="00B147D5">
        <w:rPr>
          <w:rFonts w:eastAsia="Calibri"/>
          <w:sz w:val="24"/>
          <w:szCs w:val="24"/>
        </w:rPr>
        <w:t>мероприяти</w:t>
      </w:r>
      <w:r w:rsidR="00B958C0">
        <w:rPr>
          <w:rFonts w:eastAsia="Calibri"/>
          <w:sz w:val="24"/>
          <w:szCs w:val="24"/>
        </w:rPr>
        <w:t>я</w:t>
      </w:r>
      <w:r w:rsidRPr="00B147D5">
        <w:rPr>
          <w:rFonts w:eastAsia="Calibri"/>
          <w:sz w:val="24"/>
          <w:szCs w:val="24"/>
        </w:rPr>
        <w:t xml:space="preserve"> по обработке почвы под лесные культуры, лесовосстановлению, агротехническому уходу за лесными культурами, дополнению лесных культур. </w:t>
      </w:r>
    </w:p>
    <w:p w:rsidR="00C853E2" w:rsidRDefault="00B147D5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B147D5">
        <w:rPr>
          <w:rFonts w:eastAsia="Calibri"/>
          <w:sz w:val="24"/>
          <w:szCs w:val="24"/>
        </w:rPr>
        <w:t>Постановлением администрации городского округа Тольятти от 08.05.2019 № 1272-п/1 создано муниципальное казенное учреждение городского округа Тольятти «Тольяттинское лесничество», утвержден Устав учреждения.</w:t>
      </w:r>
    </w:p>
    <w:p w:rsidR="00B958C0" w:rsidRDefault="00B958C0" w:rsidP="00B147D5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  <w:shd w:val="clear" w:color="auto" w:fill="FFFFFF"/>
        </w:rPr>
      </w:pPr>
    </w:p>
    <w:p w:rsidR="00C853E2" w:rsidRDefault="00532046" w:rsidP="00C853E2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 w:val="24"/>
          <w:szCs w:val="24"/>
          <w:shd w:val="clear" w:color="auto" w:fill="FFFFFF"/>
        </w:rPr>
      </w:pPr>
      <w:r w:rsidRPr="005319C7">
        <w:rPr>
          <w:sz w:val="24"/>
          <w:szCs w:val="24"/>
          <w:shd w:val="clear" w:color="auto" w:fill="FFFFFF"/>
        </w:rPr>
        <w:lastRenderedPageBreak/>
        <w:t xml:space="preserve">Ожидаемое выполнение прогнозных показателей по </w:t>
      </w:r>
      <w:r w:rsidR="00C40086" w:rsidRPr="005319C7">
        <w:rPr>
          <w:sz w:val="24"/>
          <w:szCs w:val="24"/>
          <w:shd w:val="clear" w:color="auto" w:fill="FFFFFF"/>
        </w:rPr>
        <w:t>разделу</w:t>
      </w:r>
    </w:p>
    <w:p w:rsidR="00532046" w:rsidRDefault="00C40086" w:rsidP="00C853E2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 w:val="24"/>
          <w:szCs w:val="24"/>
          <w:shd w:val="clear" w:color="auto" w:fill="FFFFFF"/>
        </w:rPr>
      </w:pPr>
      <w:r w:rsidRPr="005319C7">
        <w:rPr>
          <w:sz w:val="24"/>
          <w:szCs w:val="24"/>
          <w:shd w:val="clear" w:color="auto" w:fill="FFFFFF"/>
        </w:rPr>
        <w:t xml:space="preserve">«Охрана окружающей среды»  </w:t>
      </w:r>
      <w:r w:rsidR="00532046" w:rsidRPr="005319C7">
        <w:rPr>
          <w:sz w:val="24"/>
          <w:szCs w:val="24"/>
          <w:shd w:val="clear" w:color="auto" w:fill="FFFFFF"/>
        </w:rPr>
        <w:t>на 201</w:t>
      </w:r>
      <w:r w:rsidR="005319C7" w:rsidRPr="005319C7">
        <w:rPr>
          <w:sz w:val="24"/>
          <w:szCs w:val="24"/>
          <w:shd w:val="clear" w:color="auto" w:fill="FFFFFF"/>
        </w:rPr>
        <w:t>9</w:t>
      </w:r>
      <w:r w:rsidR="00532046" w:rsidRPr="005319C7">
        <w:rPr>
          <w:sz w:val="24"/>
          <w:szCs w:val="24"/>
          <w:shd w:val="clear" w:color="auto" w:fill="FFFFFF"/>
        </w:rPr>
        <w:t xml:space="preserve"> год</w:t>
      </w:r>
    </w:p>
    <w:p w:rsidR="00B958C0" w:rsidRDefault="00B958C0" w:rsidP="00C853E2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sz w:val="24"/>
          <w:szCs w:val="24"/>
          <w:shd w:val="clear" w:color="auto" w:fill="FFFFFF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1276"/>
        <w:gridCol w:w="1275"/>
        <w:gridCol w:w="1276"/>
        <w:gridCol w:w="1418"/>
      </w:tblGrid>
      <w:tr w:rsidR="00757E70" w:rsidRPr="005319C7" w:rsidTr="005C79FB">
        <w:trPr>
          <w:trHeight w:val="34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E70" w:rsidRPr="005319C7" w:rsidRDefault="00757E70" w:rsidP="00443EE9">
            <w:pPr>
              <w:shd w:val="clear" w:color="auto" w:fill="FFFFFF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319C7">
              <w:rPr>
                <w:sz w:val="24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BD8" w:rsidRDefault="00757E70" w:rsidP="00443EE9">
            <w:pPr>
              <w:shd w:val="clear" w:color="auto" w:fill="FFFFFF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319C7">
              <w:rPr>
                <w:sz w:val="24"/>
                <w:szCs w:val="24"/>
                <w:shd w:val="clear" w:color="auto" w:fill="FFFFFF"/>
              </w:rPr>
              <w:t>Единица измере</w:t>
            </w:r>
          </w:p>
          <w:p w:rsidR="00757E70" w:rsidRPr="005319C7" w:rsidRDefault="00757E70" w:rsidP="00443EE9">
            <w:pPr>
              <w:shd w:val="clear" w:color="auto" w:fill="FFFFFF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319C7">
              <w:rPr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E70" w:rsidRPr="005319C7" w:rsidRDefault="00757E70" w:rsidP="005319C7">
            <w:pPr>
              <w:jc w:val="center"/>
              <w:rPr>
                <w:sz w:val="24"/>
                <w:szCs w:val="24"/>
              </w:rPr>
            </w:pPr>
            <w:r w:rsidRPr="005319C7">
              <w:rPr>
                <w:sz w:val="24"/>
                <w:szCs w:val="24"/>
              </w:rPr>
              <w:t>Прогноз на 201</w:t>
            </w:r>
            <w:r>
              <w:rPr>
                <w:sz w:val="24"/>
                <w:szCs w:val="24"/>
              </w:rPr>
              <w:t>9</w:t>
            </w:r>
            <w:r w:rsidRPr="005319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70" w:rsidRPr="005319C7" w:rsidRDefault="00757E70" w:rsidP="005319C7">
            <w:pPr>
              <w:jc w:val="center"/>
              <w:rPr>
                <w:sz w:val="24"/>
                <w:szCs w:val="24"/>
              </w:rPr>
            </w:pPr>
            <w:r w:rsidRPr="005319C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5319C7">
              <w:rPr>
                <w:sz w:val="24"/>
                <w:szCs w:val="24"/>
              </w:rPr>
              <w:t xml:space="preserve"> год (оценка)</w:t>
            </w:r>
          </w:p>
        </w:tc>
      </w:tr>
      <w:tr w:rsidR="00757E70" w:rsidRPr="005319C7" w:rsidTr="005C79FB">
        <w:trPr>
          <w:trHeight w:val="42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E70" w:rsidRPr="005319C7" w:rsidRDefault="00757E70" w:rsidP="00443EE9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E70" w:rsidRPr="005319C7" w:rsidRDefault="00757E70" w:rsidP="00443EE9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E70" w:rsidRPr="005319C7" w:rsidRDefault="00757E70" w:rsidP="00757E70">
            <w:pPr>
              <w:jc w:val="center"/>
              <w:rPr>
                <w:sz w:val="24"/>
                <w:szCs w:val="24"/>
              </w:rPr>
            </w:pPr>
            <w:r w:rsidRPr="005319C7">
              <w:rPr>
                <w:sz w:val="24"/>
                <w:szCs w:val="24"/>
              </w:rPr>
              <w:t>1 вариант (</w:t>
            </w:r>
            <w:r>
              <w:rPr>
                <w:sz w:val="24"/>
                <w:szCs w:val="24"/>
              </w:rPr>
              <w:t>консервативный</w:t>
            </w:r>
            <w:r w:rsidRPr="005319C7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E70" w:rsidRPr="005319C7" w:rsidRDefault="00757E70" w:rsidP="00DB5EA3">
            <w:pPr>
              <w:jc w:val="center"/>
              <w:rPr>
                <w:sz w:val="24"/>
                <w:szCs w:val="24"/>
              </w:rPr>
            </w:pPr>
            <w:r w:rsidRPr="005319C7">
              <w:rPr>
                <w:sz w:val="24"/>
                <w:szCs w:val="24"/>
              </w:rPr>
              <w:t>2 вариант</w:t>
            </w:r>
          </w:p>
          <w:p w:rsidR="00757E70" w:rsidRPr="005319C7" w:rsidRDefault="00757E70" w:rsidP="00757E70">
            <w:pPr>
              <w:jc w:val="center"/>
              <w:rPr>
                <w:sz w:val="24"/>
                <w:szCs w:val="24"/>
              </w:rPr>
            </w:pPr>
            <w:r w:rsidRPr="005319C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базовый</w:t>
            </w:r>
            <w:r w:rsidRPr="005319C7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E70" w:rsidRDefault="00757E70" w:rsidP="00443EE9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 вариант</w:t>
            </w:r>
          </w:p>
          <w:p w:rsidR="00757E70" w:rsidRPr="005319C7" w:rsidRDefault="00757E70" w:rsidP="00443EE9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(целевой)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70" w:rsidRPr="005319C7" w:rsidRDefault="00757E70" w:rsidP="00443EE9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57E70" w:rsidRPr="005319C7" w:rsidTr="005C79F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E70" w:rsidRPr="005319C7" w:rsidRDefault="00757E70" w:rsidP="00443EE9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5319C7">
              <w:rPr>
                <w:sz w:val="24"/>
                <w:szCs w:val="24"/>
                <w:shd w:val="clear" w:color="auto" w:fill="FFFFFF"/>
              </w:rPr>
              <w:t>Объем вредных веществ, выбрасываемых в атмосферный воздух стационарными источниками загрязнения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E70" w:rsidRPr="005319C7" w:rsidRDefault="00757E70" w:rsidP="00443EE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757E70" w:rsidRPr="005319C7" w:rsidRDefault="00757E70" w:rsidP="00F83262">
            <w:pPr>
              <w:shd w:val="clear" w:color="auto" w:fill="FFFFFF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319C7">
              <w:rPr>
                <w:sz w:val="24"/>
                <w:szCs w:val="24"/>
                <w:shd w:val="clear" w:color="auto" w:fill="FFFFFF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E70" w:rsidRPr="005319C7" w:rsidRDefault="00757E70" w:rsidP="00443EE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sz w:val="24"/>
                <w:szCs w:val="24"/>
                <w:shd w:val="clear" w:color="auto" w:fill="FFFFFF"/>
              </w:rPr>
              <w:t>31,7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E70" w:rsidRPr="005319C7" w:rsidRDefault="00757E70" w:rsidP="00443EE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E70" w:rsidRPr="005319C7" w:rsidRDefault="00757E70" w:rsidP="00443EE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E70" w:rsidRPr="0082663A" w:rsidRDefault="0082663A" w:rsidP="00443EE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25,0</w:t>
            </w:r>
          </w:p>
        </w:tc>
      </w:tr>
      <w:tr w:rsidR="00757E70" w:rsidRPr="005319C7" w:rsidTr="005C79F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E70" w:rsidRPr="005319C7" w:rsidRDefault="00757E70" w:rsidP="00443EE9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5319C7">
              <w:rPr>
                <w:sz w:val="24"/>
                <w:szCs w:val="24"/>
                <w:shd w:val="clear" w:color="auto" w:fill="FFFFFF"/>
              </w:rPr>
              <w:t>Объем сброса загрязнений сточных вод в поверхностные водные объекты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46E" w:rsidRDefault="0031346E" w:rsidP="00443EE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757E70" w:rsidRPr="005319C7" w:rsidRDefault="00757E70" w:rsidP="00A1310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319C7">
              <w:rPr>
                <w:sz w:val="24"/>
                <w:szCs w:val="24"/>
                <w:shd w:val="clear" w:color="auto" w:fill="FFFFFF"/>
              </w:rPr>
              <w:t>тыс.</w:t>
            </w:r>
            <w:r w:rsidR="00A1310C">
              <w:rPr>
                <w:sz w:val="24"/>
                <w:szCs w:val="24"/>
                <w:shd w:val="clear" w:color="auto" w:fill="FFFFFF"/>
              </w:rPr>
              <w:t>к</w:t>
            </w:r>
            <w:r w:rsidRPr="005319C7">
              <w:rPr>
                <w:sz w:val="24"/>
                <w:szCs w:val="24"/>
                <w:shd w:val="clear" w:color="auto" w:fill="FFFFFF"/>
              </w:rPr>
              <w:t>уб.м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E70" w:rsidRPr="005319C7" w:rsidRDefault="00757E70" w:rsidP="00443EE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125 318,8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E70" w:rsidRPr="005319C7" w:rsidRDefault="00757E70" w:rsidP="00443EE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124 817,5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E70" w:rsidRPr="005319C7" w:rsidRDefault="00757E70" w:rsidP="00443EE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123 444,5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E70" w:rsidRPr="005319C7" w:rsidRDefault="0082663A" w:rsidP="00443EE9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117 852,4</w:t>
            </w:r>
          </w:p>
        </w:tc>
      </w:tr>
    </w:tbl>
    <w:p w:rsidR="00860E97" w:rsidRDefault="00860E97" w:rsidP="005C79FB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  <w:shd w:val="clear" w:color="auto" w:fill="FFFFFF"/>
        </w:rPr>
      </w:pPr>
    </w:p>
    <w:p w:rsidR="00860E97" w:rsidRDefault="00860E97" w:rsidP="005C79FB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  <w:shd w:val="clear" w:color="auto" w:fill="FFFFFF"/>
        </w:rPr>
      </w:pPr>
    </w:p>
    <w:p w:rsidR="005C79FB" w:rsidRPr="005C79FB" w:rsidRDefault="003C1BEE" w:rsidP="005C79FB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Показатели скорректированы в сторону снижения на основании следующего. </w:t>
      </w:r>
      <w:r w:rsidR="005C79FB">
        <w:rPr>
          <w:sz w:val="24"/>
          <w:szCs w:val="24"/>
          <w:shd w:val="clear" w:color="auto" w:fill="FFFFFF"/>
        </w:rPr>
        <w:t xml:space="preserve">Приказом Федеральной службы государственной статистики от 1 августа 2018 года №473 признана утратившим силу </w:t>
      </w:r>
      <w:r w:rsidR="00F357FD">
        <w:rPr>
          <w:sz w:val="24"/>
          <w:szCs w:val="24"/>
          <w:shd w:val="clear" w:color="auto" w:fill="FFFFFF"/>
        </w:rPr>
        <w:t>Ф</w:t>
      </w:r>
      <w:r w:rsidR="00EA642E" w:rsidRPr="00F357FD">
        <w:rPr>
          <w:sz w:val="24"/>
          <w:szCs w:val="24"/>
          <w:shd w:val="clear" w:color="auto" w:fill="FFFFFF"/>
        </w:rPr>
        <w:t>орм</w:t>
      </w:r>
      <w:r w:rsidR="005C79FB">
        <w:rPr>
          <w:sz w:val="24"/>
          <w:szCs w:val="24"/>
          <w:shd w:val="clear" w:color="auto" w:fill="FFFFFF"/>
        </w:rPr>
        <w:t xml:space="preserve">а </w:t>
      </w:r>
      <w:r w:rsidR="00EA642E" w:rsidRPr="00F357FD">
        <w:rPr>
          <w:sz w:val="24"/>
          <w:szCs w:val="24"/>
          <w:shd w:val="clear" w:color="auto" w:fill="FFFFFF"/>
        </w:rPr>
        <w:t xml:space="preserve">федерального статистического наблюдения </w:t>
      </w:r>
      <w:r w:rsidR="005C79FB">
        <w:rPr>
          <w:sz w:val="24"/>
          <w:szCs w:val="24"/>
          <w:shd w:val="clear" w:color="auto" w:fill="FFFFFF"/>
        </w:rPr>
        <w:t xml:space="preserve">Приложение </w:t>
      </w:r>
      <w:r w:rsidR="00EA642E" w:rsidRPr="00F357FD">
        <w:rPr>
          <w:sz w:val="24"/>
          <w:szCs w:val="24"/>
          <w:shd w:val="clear" w:color="auto" w:fill="FFFFFF"/>
        </w:rPr>
        <w:t>№ 2 - ТП (воздух) «Сведения об охране атмосферного воздуха»</w:t>
      </w:r>
      <w:r w:rsidR="00532046" w:rsidRPr="00F357FD">
        <w:rPr>
          <w:sz w:val="24"/>
          <w:szCs w:val="24"/>
          <w:shd w:val="clear" w:color="auto" w:fill="FFFFFF"/>
        </w:rPr>
        <w:t xml:space="preserve"> </w:t>
      </w:r>
      <w:r w:rsidR="00AD0866" w:rsidRPr="00AD0866">
        <w:rPr>
          <w:sz w:val="24"/>
          <w:szCs w:val="24"/>
          <w:shd w:val="clear" w:color="auto" w:fill="FFFFFF"/>
        </w:rPr>
        <w:t>начиная с отчета за 2018 год</w:t>
      </w:r>
      <w:r w:rsidR="00AD0866">
        <w:rPr>
          <w:sz w:val="24"/>
          <w:szCs w:val="24"/>
          <w:shd w:val="clear" w:color="auto" w:fill="FFFFFF"/>
        </w:rPr>
        <w:t>, в котором содержался статистический п</w:t>
      </w:r>
      <w:r w:rsidR="00F357FD" w:rsidRPr="00F357FD">
        <w:rPr>
          <w:sz w:val="24"/>
          <w:szCs w:val="24"/>
          <w:shd w:val="clear" w:color="auto" w:fill="FFFFFF"/>
        </w:rPr>
        <w:t>оказатель «Объем вредных веществ, выбрасываемых в атмосферный воздух стационарными источниками загрязнения</w:t>
      </w:r>
      <w:r w:rsidR="00AD0866">
        <w:rPr>
          <w:sz w:val="24"/>
          <w:szCs w:val="24"/>
          <w:shd w:val="clear" w:color="auto" w:fill="FFFFFF"/>
        </w:rPr>
        <w:t>»</w:t>
      </w:r>
      <w:r w:rsidR="005C79FB" w:rsidRPr="005C79FB">
        <w:rPr>
          <w:sz w:val="24"/>
          <w:szCs w:val="24"/>
          <w:shd w:val="clear" w:color="auto" w:fill="FFFFFF"/>
        </w:rPr>
        <w:t>.</w:t>
      </w:r>
    </w:p>
    <w:p w:rsidR="0031346E" w:rsidRPr="005319C7" w:rsidRDefault="00F357FD" w:rsidP="005349AB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  <w:highlight w:val="yellow"/>
          <w:shd w:val="clear" w:color="auto" w:fill="FFFFFF"/>
        </w:rPr>
      </w:pPr>
      <w:r w:rsidRPr="005C79FB">
        <w:rPr>
          <w:sz w:val="24"/>
          <w:szCs w:val="24"/>
          <w:shd w:val="clear" w:color="auto" w:fill="FFFFFF"/>
        </w:rPr>
        <w:t>Таким образом, в</w:t>
      </w:r>
      <w:r w:rsidR="00E037AA" w:rsidRPr="005C79FB">
        <w:rPr>
          <w:sz w:val="24"/>
          <w:szCs w:val="24"/>
          <w:shd w:val="clear" w:color="auto" w:fill="FFFFFF"/>
        </w:rPr>
        <w:t xml:space="preserve"> связи с исключением </w:t>
      </w:r>
      <w:r w:rsidRPr="005C79FB">
        <w:rPr>
          <w:sz w:val="24"/>
          <w:szCs w:val="24"/>
          <w:shd w:val="clear" w:color="auto" w:fill="FFFFFF"/>
        </w:rPr>
        <w:t>статистического показателя,</w:t>
      </w:r>
      <w:r w:rsidR="00E037AA" w:rsidRPr="005C79FB">
        <w:rPr>
          <w:sz w:val="24"/>
          <w:szCs w:val="24"/>
          <w:shd w:val="clear" w:color="auto" w:fill="FFFFFF"/>
        </w:rPr>
        <w:t xml:space="preserve"> </w:t>
      </w:r>
      <w:r w:rsidR="00AD0866">
        <w:rPr>
          <w:sz w:val="24"/>
          <w:szCs w:val="24"/>
          <w:shd w:val="clear" w:color="auto" w:fill="FFFFFF"/>
        </w:rPr>
        <w:t xml:space="preserve">фактическое значение и </w:t>
      </w:r>
      <w:r w:rsidR="00E037AA" w:rsidRPr="005C79FB">
        <w:rPr>
          <w:sz w:val="24"/>
          <w:szCs w:val="24"/>
          <w:shd w:val="clear" w:color="auto" w:fill="FFFFFF"/>
        </w:rPr>
        <w:t>оценка</w:t>
      </w:r>
      <w:r w:rsidR="00E037AA">
        <w:rPr>
          <w:sz w:val="24"/>
          <w:szCs w:val="24"/>
          <w:shd w:val="clear" w:color="auto" w:fill="FFFFFF"/>
        </w:rPr>
        <w:t xml:space="preserve"> о</w:t>
      </w:r>
      <w:r w:rsidR="00E037AA" w:rsidRPr="00E037AA">
        <w:rPr>
          <w:sz w:val="24"/>
          <w:szCs w:val="24"/>
          <w:shd w:val="clear" w:color="auto" w:fill="FFFFFF"/>
        </w:rPr>
        <w:t>бъем</w:t>
      </w:r>
      <w:r w:rsidR="00E037AA">
        <w:rPr>
          <w:sz w:val="24"/>
          <w:szCs w:val="24"/>
          <w:shd w:val="clear" w:color="auto" w:fill="FFFFFF"/>
        </w:rPr>
        <w:t>а</w:t>
      </w:r>
      <w:r w:rsidR="00E037AA" w:rsidRPr="00E037AA">
        <w:rPr>
          <w:sz w:val="24"/>
          <w:szCs w:val="24"/>
          <w:shd w:val="clear" w:color="auto" w:fill="FFFFFF"/>
        </w:rPr>
        <w:t xml:space="preserve"> вредных веществ, выбрасываемых в атмосферный воздух стационарными источниками загрязнения</w:t>
      </w:r>
      <w:r w:rsidR="00AD0866">
        <w:rPr>
          <w:sz w:val="24"/>
          <w:szCs w:val="24"/>
          <w:shd w:val="clear" w:color="auto" w:fill="FFFFFF"/>
        </w:rPr>
        <w:t>,</w:t>
      </w:r>
      <w:r w:rsidR="00E037AA" w:rsidRPr="00E037AA">
        <w:rPr>
          <w:sz w:val="24"/>
          <w:szCs w:val="24"/>
          <w:shd w:val="clear" w:color="auto" w:fill="FFFFFF"/>
        </w:rPr>
        <w:t xml:space="preserve"> </w:t>
      </w:r>
      <w:r w:rsidR="00AD0866">
        <w:rPr>
          <w:sz w:val="24"/>
          <w:szCs w:val="24"/>
          <w:shd w:val="clear" w:color="auto" w:fill="FFFFFF"/>
        </w:rPr>
        <w:t>получены</w:t>
      </w:r>
      <w:r w:rsidR="00E037AA">
        <w:rPr>
          <w:sz w:val="24"/>
          <w:szCs w:val="24"/>
          <w:shd w:val="clear" w:color="auto" w:fill="FFFFFF"/>
        </w:rPr>
        <w:t xml:space="preserve"> </w:t>
      </w:r>
      <w:r w:rsidR="00AD0866">
        <w:rPr>
          <w:sz w:val="24"/>
          <w:szCs w:val="24"/>
          <w:shd w:val="clear" w:color="auto" w:fill="FFFFFF"/>
        </w:rPr>
        <w:t xml:space="preserve">на основании </w:t>
      </w:r>
      <w:r w:rsidR="0031346E" w:rsidRPr="0031346E">
        <w:rPr>
          <w:sz w:val="24"/>
          <w:szCs w:val="24"/>
          <w:shd w:val="clear" w:color="auto" w:fill="FFFFFF"/>
        </w:rPr>
        <w:t>представленны</w:t>
      </w:r>
      <w:r w:rsidR="00AD0866">
        <w:rPr>
          <w:sz w:val="24"/>
          <w:szCs w:val="24"/>
          <w:shd w:val="clear" w:color="auto" w:fill="FFFFFF"/>
        </w:rPr>
        <w:t>х</w:t>
      </w:r>
      <w:r w:rsidR="0031346E" w:rsidRPr="0031346E">
        <w:rPr>
          <w:sz w:val="24"/>
          <w:szCs w:val="24"/>
          <w:shd w:val="clear" w:color="auto" w:fill="FFFFFF"/>
        </w:rPr>
        <w:t xml:space="preserve"> </w:t>
      </w:r>
      <w:r w:rsidR="00AD0866">
        <w:rPr>
          <w:sz w:val="24"/>
          <w:szCs w:val="24"/>
          <w:shd w:val="clear" w:color="auto" w:fill="FFFFFF"/>
        </w:rPr>
        <w:t xml:space="preserve">сведений от 11 крупнейших промышленных предприятий города </w:t>
      </w:r>
      <w:r w:rsidR="0031346E" w:rsidRPr="0031346E">
        <w:rPr>
          <w:sz w:val="24"/>
          <w:szCs w:val="24"/>
          <w:shd w:val="clear" w:color="auto" w:fill="FFFFFF"/>
        </w:rPr>
        <w:t xml:space="preserve">по запросу администрации </w:t>
      </w:r>
      <w:r w:rsidR="00E037AA">
        <w:rPr>
          <w:sz w:val="24"/>
          <w:szCs w:val="24"/>
          <w:shd w:val="clear" w:color="auto" w:fill="FFFFFF"/>
        </w:rPr>
        <w:t>городского округа Тольятти</w:t>
      </w:r>
      <w:r w:rsidR="00AD0866">
        <w:rPr>
          <w:sz w:val="24"/>
          <w:szCs w:val="24"/>
          <w:shd w:val="clear" w:color="auto" w:fill="FFFFFF"/>
        </w:rPr>
        <w:t>.</w:t>
      </w:r>
      <w:r w:rsidR="00E037AA">
        <w:rPr>
          <w:sz w:val="24"/>
          <w:szCs w:val="24"/>
          <w:shd w:val="clear" w:color="auto" w:fill="FFFFFF"/>
        </w:rPr>
        <w:t xml:space="preserve"> </w:t>
      </w:r>
    </w:p>
    <w:p w:rsidR="0031346E" w:rsidRPr="0031346E" w:rsidRDefault="00532046" w:rsidP="005349AB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  <w:shd w:val="clear" w:color="auto" w:fill="FFFFFF"/>
        </w:rPr>
      </w:pPr>
      <w:r w:rsidRPr="005349AB">
        <w:rPr>
          <w:sz w:val="24"/>
          <w:szCs w:val="24"/>
          <w:shd w:val="clear" w:color="auto" w:fill="FFFFFF"/>
        </w:rPr>
        <w:t>Оценка объема сброса загрязненных сточных вод в поверхностные водные объекты в 201</w:t>
      </w:r>
      <w:r w:rsidR="005349AB" w:rsidRPr="005349AB">
        <w:rPr>
          <w:sz w:val="24"/>
          <w:szCs w:val="24"/>
          <w:shd w:val="clear" w:color="auto" w:fill="FFFFFF"/>
        </w:rPr>
        <w:t>9</w:t>
      </w:r>
      <w:r w:rsidRPr="005349AB">
        <w:rPr>
          <w:sz w:val="24"/>
          <w:szCs w:val="24"/>
          <w:shd w:val="clear" w:color="auto" w:fill="FFFFFF"/>
        </w:rPr>
        <w:t xml:space="preserve"> году снижена </w:t>
      </w:r>
      <w:r w:rsidR="0031346E" w:rsidRPr="005349AB">
        <w:rPr>
          <w:sz w:val="24"/>
          <w:szCs w:val="24"/>
          <w:shd w:val="clear" w:color="auto" w:fill="FFFFFF"/>
        </w:rPr>
        <w:t xml:space="preserve">в соответствии с представленными по запросу администрации </w:t>
      </w:r>
      <w:r w:rsidR="005349AB">
        <w:rPr>
          <w:sz w:val="24"/>
          <w:szCs w:val="24"/>
          <w:shd w:val="clear" w:color="auto" w:fill="FFFFFF"/>
        </w:rPr>
        <w:t xml:space="preserve">городского округа Тольятти </w:t>
      </w:r>
      <w:r w:rsidR="003C1BEE">
        <w:rPr>
          <w:sz w:val="24"/>
          <w:szCs w:val="24"/>
          <w:shd w:val="clear" w:color="auto" w:fill="FFFFFF"/>
        </w:rPr>
        <w:t xml:space="preserve">фактическими </w:t>
      </w:r>
      <w:r w:rsidR="0031346E" w:rsidRPr="005349AB">
        <w:rPr>
          <w:sz w:val="24"/>
          <w:szCs w:val="24"/>
          <w:shd w:val="clear" w:color="auto" w:fill="FFFFFF"/>
        </w:rPr>
        <w:t xml:space="preserve">сведениями от </w:t>
      </w:r>
      <w:r w:rsidR="00AD0866">
        <w:rPr>
          <w:sz w:val="24"/>
          <w:szCs w:val="24"/>
          <w:shd w:val="clear" w:color="auto" w:fill="FFFFFF"/>
        </w:rPr>
        <w:t xml:space="preserve">крупнейших промышленных </w:t>
      </w:r>
      <w:r w:rsidR="0031346E" w:rsidRPr="005349AB">
        <w:rPr>
          <w:sz w:val="24"/>
          <w:szCs w:val="24"/>
          <w:shd w:val="clear" w:color="auto" w:fill="FFFFFF"/>
        </w:rPr>
        <w:t>предприятий,</w:t>
      </w:r>
      <w:r w:rsidR="0031346E" w:rsidRPr="0031346E">
        <w:rPr>
          <w:sz w:val="24"/>
          <w:szCs w:val="24"/>
          <w:shd w:val="clear" w:color="auto" w:fill="FFFFFF"/>
        </w:rPr>
        <w:t xml:space="preserve"> расположенных на территории городского округа Тольятти.</w:t>
      </w:r>
    </w:p>
    <w:p w:rsidR="0031346E" w:rsidRPr="0031346E" w:rsidRDefault="0031346E" w:rsidP="005349AB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  <w:shd w:val="clear" w:color="auto" w:fill="FFFFFF"/>
        </w:rPr>
      </w:pPr>
      <w:r w:rsidRPr="0031346E">
        <w:rPr>
          <w:sz w:val="24"/>
          <w:szCs w:val="24"/>
          <w:shd w:val="clear" w:color="auto" w:fill="FFFFFF"/>
        </w:rPr>
        <w:t>Снижение фактического значения объёмов сброса загрязнённых сточных вод в поверхностные водные объекты произошло вследствие увеличения на предприятиях города объёмов оборотного и повторного использования воды (многократное использование водного ресурса сокращает потребление воды и объёмы сброса сточных вод в водоёмы).</w:t>
      </w:r>
    </w:p>
    <w:p w:rsidR="00E037AA" w:rsidRDefault="00E037AA" w:rsidP="005349AB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  <w:highlight w:val="yellow"/>
          <w:shd w:val="clear" w:color="auto" w:fill="FFFFFF"/>
        </w:rPr>
      </w:pPr>
    </w:p>
    <w:p w:rsidR="00182532" w:rsidRPr="00F357FD" w:rsidRDefault="00182532" w:rsidP="005349AB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  <w:shd w:val="clear" w:color="auto" w:fill="FFFFFF"/>
        </w:rPr>
      </w:pPr>
      <w:r w:rsidRPr="00F357FD">
        <w:rPr>
          <w:sz w:val="24"/>
          <w:szCs w:val="24"/>
          <w:shd w:val="clear" w:color="auto" w:fill="FFFFFF"/>
        </w:rPr>
        <w:t xml:space="preserve">Таким образом, </w:t>
      </w:r>
      <w:r w:rsidR="00982A64" w:rsidRPr="00F357FD">
        <w:rPr>
          <w:sz w:val="24"/>
          <w:szCs w:val="24"/>
          <w:shd w:val="clear" w:color="auto" w:fill="FFFFFF"/>
        </w:rPr>
        <w:t xml:space="preserve">в </w:t>
      </w:r>
      <w:r w:rsidRPr="00F357FD">
        <w:rPr>
          <w:sz w:val="24"/>
          <w:szCs w:val="24"/>
          <w:shd w:val="clear" w:color="auto" w:fill="FFFFFF"/>
        </w:rPr>
        <w:t xml:space="preserve">экономике </w:t>
      </w:r>
      <w:r w:rsidR="004C7F25" w:rsidRPr="00F357FD">
        <w:rPr>
          <w:sz w:val="24"/>
          <w:szCs w:val="24"/>
          <w:shd w:val="clear" w:color="auto" w:fill="FFFFFF"/>
        </w:rPr>
        <w:t>города</w:t>
      </w:r>
      <w:r w:rsidRPr="00F357FD">
        <w:rPr>
          <w:sz w:val="24"/>
          <w:szCs w:val="24"/>
          <w:shd w:val="clear" w:color="auto" w:fill="FFFFFF"/>
        </w:rPr>
        <w:t>, с одной стороны, идут активные восстановительные процессы, с другой стороны, сохраняются процессы адаптации отдельных отраслей реального сектора экономики к современным рискам и вызовам.</w:t>
      </w:r>
    </w:p>
    <w:p w:rsidR="00B61639" w:rsidRPr="00E037AA" w:rsidRDefault="00682AA7" w:rsidP="00682AA7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4"/>
          <w:szCs w:val="24"/>
          <w:shd w:val="clear" w:color="auto" w:fill="FFFFFF"/>
        </w:rPr>
      </w:pPr>
      <w:r w:rsidRPr="00E037AA">
        <w:rPr>
          <w:sz w:val="24"/>
          <w:szCs w:val="24"/>
          <w:shd w:val="clear" w:color="auto" w:fill="FFFFFF"/>
        </w:rPr>
        <w:t xml:space="preserve">Экономическое и социальное благополучие города по-прежнему в значительной степени зависит от деятельности градообразующего предприятия АО «АВТОВАЗ» и смежных с ни производств. </w:t>
      </w:r>
      <w:r w:rsidR="00C821FA" w:rsidRPr="00E037AA">
        <w:rPr>
          <w:sz w:val="24"/>
          <w:szCs w:val="24"/>
          <w:shd w:val="clear" w:color="auto" w:fill="FFFFFF"/>
        </w:rPr>
        <w:t>Н</w:t>
      </w:r>
      <w:r w:rsidR="00B61639" w:rsidRPr="00E037AA">
        <w:rPr>
          <w:sz w:val="24"/>
          <w:szCs w:val="24"/>
          <w:shd w:val="clear" w:color="auto" w:fill="FFFFFF"/>
        </w:rPr>
        <w:t>едостаточны</w:t>
      </w:r>
      <w:r w:rsidR="00C821FA" w:rsidRPr="00E037AA">
        <w:rPr>
          <w:sz w:val="24"/>
          <w:szCs w:val="24"/>
          <w:shd w:val="clear" w:color="auto" w:fill="FFFFFF"/>
        </w:rPr>
        <w:t>е</w:t>
      </w:r>
      <w:r w:rsidR="00B61639" w:rsidRPr="00E037AA">
        <w:rPr>
          <w:sz w:val="24"/>
          <w:szCs w:val="24"/>
          <w:shd w:val="clear" w:color="auto" w:fill="FFFFFF"/>
        </w:rPr>
        <w:t xml:space="preserve"> </w:t>
      </w:r>
      <w:r w:rsidRPr="00E037AA">
        <w:rPr>
          <w:sz w:val="24"/>
          <w:szCs w:val="24"/>
          <w:shd w:val="clear" w:color="auto" w:fill="FFFFFF"/>
        </w:rPr>
        <w:t>объем</w:t>
      </w:r>
      <w:r w:rsidR="00C821FA" w:rsidRPr="00E037AA">
        <w:rPr>
          <w:sz w:val="24"/>
          <w:szCs w:val="24"/>
          <w:shd w:val="clear" w:color="auto" w:fill="FFFFFF"/>
        </w:rPr>
        <w:t>ы</w:t>
      </w:r>
      <w:r w:rsidRPr="00E037AA">
        <w:rPr>
          <w:sz w:val="24"/>
          <w:szCs w:val="24"/>
          <w:shd w:val="clear" w:color="auto" w:fill="FFFFFF"/>
        </w:rPr>
        <w:t xml:space="preserve"> </w:t>
      </w:r>
      <w:r w:rsidR="00195A96" w:rsidRPr="00E037AA">
        <w:rPr>
          <w:sz w:val="24"/>
          <w:szCs w:val="24"/>
          <w:shd w:val="clear" w:color="auto" w:fill="FFFFFF"/>
        </w:rPr>
        <w:t xml:space="preserve">инвестиций, в том числе </w:t>
      </w:r>
      <w:r w:rsidR="00C821FA" w:rsidRPr="00E037AA">
        <w:rPr>
          <w:sz w:val="24"/>
          <w:szCs w:val="24"/>
          <w:shd w:val="clear" w:color="auto" w:fill="FFFFFF"/>
        </w:rPr>
        <w:t>бюджетных</w:t>
      </w:r>
      <w:r w:rsidR="00195A96" w:rsidRPr="00E037AA">
        <w:rPr>
          <w:sz w:val="24"/>
          <w:szCs w:val="24"/>
          <w:shd w:val="clear" w:color="auto" w:fill="FFFFFF"/>
        </w:rPr>
        <w:t>,</w:t>
      </w:r>
      <w:r w:rsidR="00C821FA" w:rsidRPr="00E037AA">
        <w:rPr>
          <w:sz w:val="24"/>
          <w:szCs w:val="24"/>
          <w:shd w:val="clear" w:color="auto" w:fill="FFFFFF"/>
        </w:rPr>
        <w:t xml:space="preserve"> сдерживают социально-экономическое </w:t>
      </w:r>
      <w:r w:rsidR="00195A96" w:rsidRPr="00E037AA">
        <w:rPr>
          <w:sz w:val="24"/>
          <w:szCs w:val="24"/>
          <w:shd w:val="clear" w:color="auto" w:fill="FFFFFF"/>
        </w:rPr>
        <w:t>развитие города. Н</w:t>
      </w:r>
      <w:r w:rsidR="00C821FA" w:rsidRPr="00E037AA">
        <w:rPr>
          <w:sz w:val="24"/>
          <w:szCs w:val="24"/>
          <w:shd w:val="clear" w:color="auto" w:fill="FFFFFF"/>
        </w:rPr>
        <w:t xml:space="preserve">аблюдается </w:t>
      </w:r>
      <w:r w:rsidR="00195A96" w:rsidRPr="00E037AA">
        <w:rPr>
          <w:sz w:val="24"/>
          <w:szCs w:val="24"/>
          <w:shd w:val="clear" w:color="auto" w:fill="FFFFFF"/>
        </w:rPr>
        <w:t xml:space="preserve">отрицательная динамика демографических процессов: </w:t>
      </w:r>
      <w:r w:rsidR="00C821FA" w:rsidRPr="00E037AA">
        <w:rPr>
          <w:sz w:val="24"/>
          <w:szCs w:val="24"/>
          <w:shd w:val="clear" w:color="auto" w:fill="FFFFFF"/>
        </w:rPr>
        <w:t>снижение численности трудоспособного населения</w:t>
      </w:r>
      <w:r w:rsidR="00195A96" w:rsidRPr="00E037AA">
        <w:rPr>
          <w:sz w:val="24"/>
          <w:szCs w:val="24"/>
          <w:shd w:val="clear" w:color="auto" w:fill="FFFFFF"/>
        </w:rPr>
        <w:t xml:space="preserve"> и миграционный отток</w:t>
      </w:r>
      <w:r w:rsidRPr="00E037AA">
        <w:rPr>
          <w:sz w:val="24"/>
          <w:szCs w:val="24"/>
          <w:shd w:val="clear" w:color="auto" w:fill="FFFFFF"/>
        </w:rPr>
        <w:t>.</w:t>
      </w:r>
      <w:r w:rsidR="00B61639" w:rsidRPr="00E037AA">
        <w:rPr>
          <w:sz w:val="24"/>
          <w:szCs w:val="24"/>
          <w:shd w:val="clear" w:color="auto" w:fill="FFFFFF"/>
        </w:rPr>
        <w:t xml:space="preserve"> </w:t>
      </w:r>
    </w:p>
    <w:p w:rsidR="00B61639" w:rsidRDefault="00B61639" w:rsidP="00B61639">
      <w:pPr>
        <w:pStyle w:val="afb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firstLine="709"/>
        <w:jc w:val="both"/>
        <w:rPr>
          <w:color w:val="000000"/>
          <w:szCs w:val="24"/>
        </w:rPr>
      </w:pPr>
      <w:r w:rsidRPr="00E037AA">
        <w:rPr>
          <w:color w:val="000000"/>
          <w:szCs w:val="24"/>
        </w:rPr>
        <w:lastRenderedPageBreak/>
        <w:t xml:space="preserve">При этом администрация городского округа Тольятти предпринимает все возможные меры в рамках своих полномочий, направленные на </w:t>
      </w:r>
      <w:r w:rsidR="00862A65">
        <w:rPr>
          <w:color w:val="000000"/>
          <w:szCs w:val="24"/>
        </w:rPr>
        <w:t>дальнейшее</w:t>
      </w:r>
      <w:r w:rsidRPr="00E037AA">
        <w:rPr>
          <w:color w:val="000000"/>
          <w:szCs w:val="24"/>
        </w:rPr>
        <w:t xml:space="preserve"> развитие города. </w:t>
      </w:r>
    </w:p>
    <w:p w:rsidR="00862A65" w:rsidRDefault="00862A65" w:rsidP="00862A65">
      <w:pPr>
        <w:shd w:val="clear" w:color="auto" w:fill="FFFFFF"/>
        <w:suppressAutoHyphens w:val="0"/>
        <w:spacing w:line="276" w:lineRule="auto"/>
        <w:jc w:val="both"/>
        <w:rPr>
          <w:color w:val="000000"/>
          <w:szCs w:val="24"/>
        </w:rPr>
      </w:pPr>
    </w:p>
    <w:p w:rsidR="00862A65" w:rsidRDefault="00862A65" w:rsidP="00862A65">
      <w:pPr>
        <w:shd w:val="clear" w:color="auto" w:fill="FFFFFF"/>
        <w:suppressAutoHyphens w:val="0"/>
        <w:spacing w:line="276" w:lineRule="auto"/>
        <w:jc w:val="both"/>
        <w:rPr>
          <w:color w:val="000000"/>
          <w:szCs w:val="24"/>
        </w:rPr>
      </w:pPr>
    </w:p>
    <w:p w:rsidR="00862A65" w:rsidRDefault="00862A65" w:rsidP="00862A65">
      <w:pPr>
        <w:shd w:val="clear" w:color="auto" w:fill="FFFFFF"/>
        <w:suppressAutoHyphens w:val="0"/>
        <w:spacing w:line="276" w:lineRule="auto"/>
        <w:jc w:val="both"/>
        <w:rPr>
          <w:color w:val="000000"/>
          <w:szCs w:val="24"/>
        </w:rPr>
      </w:pPr>
    </w:p>
    <w:p w:rsidR="00862A65" w:rsidRDefault="00862A65" w:rsidP="00862A65">
      <w:pPr>
        <w:shd w:val="clear" w:color="auto" w:fill="FFFFFF"/>
        <w:suppressAutoHyphens w:val="0"/>
        <w:spacing w:line="276" w:lineRule="auto"/>
        <w:jc w:val="both"/>
        <w:rPr>
          <w:color w:val="000000"/>
          <w:szCs w:val="24"/>
        </w:rPr>
      </w:pPr>
    </w:p>
    <w:p w:rsidR="00862A65" w:rsidRDefault="00862A65" w:rsidP="00862A65">
      <w:pPr>
        <w:shd w:val="clear" w:color="auto" w:fill="FFFFFF"/>
        <w:suppressAutoHyphens w:val="0"/>
        <w:spacing w:line="276" w:lineRule="auto"/>
        <w:jc w:val="both"/>
        <w:rPr>
          <w:color w:val="000000"/>
          <w:szCs w:val="24"/>
        </w:rPr>
      </w:pPr>
    </w:p>
    <w:p w:rsidR="00862A65" w:rsidRDefault="00862A65" w:rsidP="00862A65">
      <w:pPr>
        <w:shd w:val="clear" w:color="auto" w:fill="FFFFFF"/>
        <w:suppressAutoHyphens w:val="0"/>
        <w:spacing w:line="276" w:lineRule="auto"/>
        <w:jc w:val="both"/>
        <w:rPr>
          <w:color w:val="000000"/>
          <w:szCs w:val="24"/>
        </w:rPr>
      </w:pPr>
    </w:p>
    <w:p w:rsidR="00862A65" w:rsidRDefault="00862A65" w:rsidP="00862A65">
      <w:pPr>
        <w:shd w:val="clear" w:color="auto" w:fill="FFFFFF"/>
        <w:suppressAutoHyphens w:val="0"/>
        <w:spacing w:line="276" w:lineRule="auto"/>
        <w:jc w:val="both"/>
        <w:rPr>
          <w:color w:val="000000"/>
          <w:szCs w:val="24"/>
        </w:rPr>
      </w:pPr>
    </w:p>
    <w:p w:rsidR="00862A65" w:rsidRPr="00862A65" w:rsidRDefault="00862A65" w:rsidP="00862A65">
      <w:pPr>
        <w:shd w:val="clear" w:color="auto" w:fill="FFFFFF"/>
        <w:suppressAutoHyphens w:val="0"/>
        <w:spacing w:line="276" w:lineRule="auto"/>
        <w:jc w:val="both"/>
        <w:rPr>
          <w:color w:val="000000"/>
          <w:szCs w:val="24"/>
        </w:rPr>
      </w:pPr>
    </w:p>
    <w:p w:rsidR="00195A96" w:rsidRDefault="00195A96" w:rsidP="00443EE9">
      <w:pPr>
        <w:jc w:val="both"/>
        <w:outlineLvl w:val="0"/>
        <w:rPr>
          <w:sz w:val="24"/>
          <w:szCs w:val="24"/>
          <w:highlight w:val="yellow"/>
        </w:rPr>
      </w:pPr>
    </w:p>
    <w:p w:rsidR="00F357FD" w:rsidRDefault="00F357FD" w:rsidP="00443EE9">
      <w:pPr>
        <w:jc w:val="both"/>
        <w:outlineLvl w:val="0"/>
        <w:rPr>
          <w:sz w:val="24"/>
          <w:szCs w:val="24"/>
          <w:highlight w:val="yellow"/>
        </w:rPr>
      </w:pPr>
    </w:p>
    <w:p w:rsidR="00F357FD" w:rsidRDefault="00F357FD" w:rsidP="00443EE9">
      <w:pPr>
        <w:jc w:val="both"/>
        <w:outlineLvl w:val="0"/>
        <w:rPr>
          <w:sz w:val="24"/>
          <w:szCs w:val="24"/>
          <w:highlight w:val="yellow"/>
        </w:rPr>
      </w:pPr>
    </w:p>
    <w:p w:rsidR="00552507" w:rsidRPr="005319C7" w:rsidRDefault="00074159" w:rsidP="00443EE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</w:t>
      </w:r>
      <w:r w:rsidR="00552507" w:rsidRPr="005319C7">
        <w:rPr>
          <w:sz w:val="24"/>
          <w:szCs w:val="24"/>
        </w:rPr>
        <w:t>уководител</w:t>
      </w:r>
      <w:r w:rsidR="005319C7" w:rsidRPr="005319C7">
        <w:rPr>
          <w:sz w:val="24"/>
          <w:szCs w:val="24"/>
        </w:rPr>
        <w:t>ь</w:t>
      </w:r>
      <w:r w:rsidR="00552507" w:rsidRPr="005319C7">
        <w:rPr>
          <w:sz w:val="24"/>
          <w:szCs w:val="24"/>
        </w:rPr>
        <w:t xml:space="preserve"> департамента </w:t>
      </w:r>
    </w:p>
    <w:p w:rsidR="00C40086" w:rsidRDefault="00552507" w:rsidP="00443EE9">
      <w:pPr>
        <w:jc w:val="both"/>
        <w:outlineLvl w:val="0"/>
        <w:rPr>
          <w:sz w:val="24"/>
          <w:szCs w:val="24"/>
        </w:rPr>
      </w:pPr>
      <w:r w:rsidRPr="005319C7">
        <w:rPr>
          <w:sz w:val="24"/>
          <w:szCs w:val="24"/>
        </w:rPr>
        <w:t>экономического развития</w:t>
      </w:r>
      <w:r w:rsidR="006230E3" w:rsidRPr="005319C7">
        <w:rPr>
          <w:sz w:val="24"/>
          <w:szCs w:val="24"/>
        </w:rPr>
        <w:t xml:space="preserve">                                                    </w:t>
      </w:r>
      <w:r w:rsidRPr="005319C7">
        <w:rPr>
          <w:sz w:val="24"/>
          <w:szCs w:val="24"/>
        </w:rPr>
        <w:t xml:space="preserve">            </w:t>
      </w:r>
      <w:r w:rsidR="006230E3" w:rsidRPr="005319C7">
        <w:rPr>
          <w:sz w:val="24"/>
          <w:szCs w:val="24"/>
        </w:rPr>
        <w:t xml:space="preserve">              </w:t>
      </w:r>
      <w:r w:rsidR="005319C7" w:rsidRPr="005319C7">
        <w:rPr>
          <w:sz w:val="24"/>
          <w:szCs w:val="24"/>
        </w:rPr>
        <w:t xml:space="preserve">  </w:t>
      </w:r>
      <w:r w:rsidR="006230E3" w:rsidRPr="005319C7">
        <w:rPr>
          <w:sz w:val="24"/>
          <w:szCs w:val="24"/>
        </w:rPr>
        <w:t xml:space="preserve">  </w:t>
      </w:r>
      <w:r w:rsidR="005319C7" w:rsidRPr="005319C7">
        <w:rPr>
          <w:sz w:val="24"/>
          <w:szCs w:val="24"/>
        </w:rPr>
        <w:t>Д.Н. Терновский</w:t>
      </w:r>
    </w:p>
    <w:p w:rsidR="00A1310C" w:rsidRDefault="00A50BA4" w:rsidP="00443EE9">
      <w:pPr>
        <w:jc w:val="both"/>
        <w:outlineLvl w:val="0"/>
        <w:rPr>
          <w:sz w:val="24"/>
          <w:szCs w:val="24"/>
        </w:rPr>
      </w:pPr>
      <w:r w:rsidRPr="00443EE9">
        <w:rPr>
          <w:sz w:val="24"/>
          <w:szCs w:val="24"/>
        </w:rPr>
        <w:tab/>
      </w:r>
    </w:p>
    <w:p w:rsidR="00A1310C" w:rsidRDefault="00A1310C" w:rsidP="00443EE9">
      <w:pPr>
        <w:jc w:val="both"/>
        <w:outlineLvl w:val="0"/>
        <w:rPr>
          <w:sz w:val="24"/>
          <w:szCs w:val="24"/>
        </w:rPr>
      </w:pPr>
    </w:p>
    <w:p w:rsidR="00A1310C" w:rsidRDefault="00A1310C" w:rsidP="00443EE9">
      <w:pPr>
        <w:jc w:val="both"/>
        <w:outlineLvl w:val="0"/>
        <w:rPr>
          <w:sz w:val="24"/>
          <w:szCs w:val="24"/>
        </w:rPr>
      </w:pPr>
    </w:p>
    <w:p w:rsidR="00862A65" w:rsidRDefault="00862A65" w:rsidP="00443EE9">
      <w:pPr>
        <w:jc w:val="both"/>
        <w:outlineLvl w:val="0"/>
        <w:rPr>
          <w:sz w:val="24"/>
          <w:szCs w:val="24"/>
        </w:rPr>
      </w:pPr>
    </w:p>
    <w:p w:rsidR="00862A65" w:rsidRDefault="00862A65" w:rsidP="00443EE9">
      <w:pPr>
        <w:jc w:val="both"/>
        <w:outlineLvl w:val="0"/>
        <w:rPr>
          <w:sz w:val="24"/>
          <w:szCs w:val="24"/>
        </w:rPr>
      </w:pPr>
    </w:p>
    <w:p w:rsidR="00862A65" w:rsidRDefault="00862A65" w:rsidP="00443EE9">
      <w:pPr>
        <w:jc w:val="both"/>
        <w:outlineLvl w:val="0"/>
        <w:rPr>
          <w:sz w:val="24"/>
          <w:szCs w:val="24"/>
        </w:rPr>
      </w:pPr>
    </w:p>
    <w:p w:rsidR="005F638D" w:rsidRPr="000149E7" w:rsidRDefault="00A1310C" w:rsidP="00443EE9">
      <w:pPr>
        <w:jc w:val="both"/>
        <w:outlineLvl w:val="0"/>
        <w:rPr>
          <w:sz w:val="22"/>
          <w:szCs w:val="22"/>
        </w:rPr>
      </w:pPr>
      <w:r w:rsidRPr="000149E7">
        <w:rPr>
          <w:sz w:val="22"/>
          <w:szCs w:val="22"/>
        </w:rPr>
        <w:t>Кончева Н.В.</w:t>
      </w:r>
      <w:r w:rsidR="005F638D" w:rsidRPr="000149E7">
        <w:rPr>
          <w:sz w:val="22"/>
          <w:szCs w:val="22"/>
        </w:rPr>
        <w:t xml:space="preserve">, </w:t>
      </w:r>
    </w:p>
    <w:p w:rsidR="00A50BA4" w:rsidRPr="00443EE9" w:rsidRDefault="005F638D" w:rsidP="00443EE9">
      <w:pPr>
        <w:jc w:val="both"/>
        <w:outlineLvl w:val="0"/>
        <w:rPr>
          <w:sz w:val="24"/>
          <w:szCs w:val="24"/>
        </w:rPr>
      </w:pPr>
      <w:r w:rsidRPr="000149E7">
        <w:rPr>
          <w:sz w:val="22"/>
          <w:szCs w:val="22"/>
        </w:rPr>
        <w:t>54-32-76</w:t>
      </w:r>
      <w:r w:rsidR="00A50BA4" w:rsidRPr="000149E7">
        <w:rPr>
          <w:sz w:val="22"/>
          <w:szCs w:val="22"/>
        </w:rPr>
        <w:tab/>
      </w:r>
      <w:r w:rsidR="00A50BA4" w:rsidRPr="00443EE9">
        <w:rPr>
          <w:sz w:val="24"/>
          <w:szCs w:val="24"/>
        </w:rPr>
        <w:t xml:space="preserve">                </w:t>
      </w:r>
      <w:r w:rsidR="00C952D2" w:rsidRPr="00443EE9">
        <w:rPr>
          <w:sz w:val="24"/>
          <w:szCs w:val="24"/>
        </w:rPr>
        <w:t xml:space="preserve">   </w:t>
      </w:r>
      <w:r w:rsidR="00A50BA4" w:rsidRPr="00443EE9">
        <w:rPr>
          <w:sz w:val="24"/>
          <w:szCs w:val="24"/>
        </w:rPr>
        <w:t xml:space="preserve">                            </w:t>
      </w:r>
      <w:r w:rsidR="006230E3" w:rsidRPr="00443EE9">
        <w:rPr>
          <w:sz w:val="24"/>
          <w:szCs w:val="24"/>
        </w:rPr>
        <w:t xml:space="preserve"> </w:t>
      </w:r>
    </w:p>
    <w:sectPr w:rsidR="00A50BA4" w:rsidRPr="00443EE9" w:rsidSect="00792212">
      <w:headerReference w:type="default" r:id="rId10"/>
      <w:pgSz w:w="11906" w:h="16838"/>
      <w:pgMar w:top="1134" w:right="851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ED" w:rsidRDefault="00E92BED">
      <w:r>
        <w:separator/>
      </w:r>
    </w:p>
  </w:endnote>
  <w:endnote w:type="continuationSeparator" w:id="0">
    <w:p w:rsidR="00E92BED" w:rsidRDefault="00E9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ED" w:rsidRDefault="00E92BED">
      <w:r>
        <w:separator/>
      </w:r>
    </w:p>
  </w:footnote>
  <w:footnote w:type="continuationSeparator" w:id="0">
    <w:p w:rsidR="00E92BED" w:rsidRDefault="00E92BED">
      <w:r>
        <w:continuationSeparator/>
      </w:r>
    </w:p>
  </w:footnote>
  <w:footnote w:id="1">
    <w:p w:rsidR="004B73E4" w:rsidRDefault="004B73E4">
      <w:pPr>
        <w:pStyle w:val="aff"/>
      </w:pPr>
      <w:r>
        <w:rPr>
          <w:rStyle w:val="affb"/>
        </w:rPr>
        <w:footnoteRef/>
      </w:r>
      <w:r>
        <w:t xml:space="preserve"> </w:t>
      </w:r>
      <w:r w:rsidRPr="003D30D1">
        <w:t>http://economy.samregion.ru/activity/mun_razv/reitingi/gorodskie-okruga/.</w:t>
      </w:r>
    </w:p>
  </w:footnote>
  <w:footnote w:id="2">
    <w:p w:rsidR="004B73E4" w:rsidRDefault="004B73E4" w:rsidP="00211E4E">
      <w:pPr>
        <w:pStyle w:val="aff"/>
      </w:pPr>
      <w:r>
        <w:rPr>
          <w:rStyle w:val="affb"/>
        </w:rPr>
        <w:footnoteRef/>
      </w:r>
      <w:r>
        <w:t xml:space="preserve"> Статистические данные предоставлены Самарастат на основании муниципального контракта на 2019 год.</w:t>
      </w:r>
    </w:p>
  </w:footnote>
  <w:footnote w:id="3">
    <w:p w:rsidR="004B73E4" w:rsidRPr="00565D79" w:rsidRDefault="004B73E4" w:rsidP="00211E4E">
      <w:pPr>
        <w:pStyle w:val="aff"/>
      </w:pPr>
      <w:r>
        <w:rPr>
          <w:rStyle w:val="affb"/>
        </w:rPr>
        <w:footnoteRef/>
      </w:r>
      <w:r>
        <w:t xml:space="preserve"> данные с официального сайта ПАО «Куйбышевазот» в сети Интернет </w:t>
      </w:r>
      <w:r w:rsidRPr="00565D79">
        <w:t>(</w:t>
      </w:r>
      <w:hyperlink r:id="rId1" w:history="1">
        <w:r w:rsidRPr="005E2ED8">
          <w:rPr>
            <w:rStyle w:val="aff7"/>
          </w:rPr>
          <w:t>https://www.kuazot.ru/invest/ras_reporting/</w:t>
        </w:r>
      </w:hyperlink>
      <w:r>
        <w:t xml:space="preserve"> </w:t>
      </w:r>
      <w:r w:rsidRPr="00565D79">
        <w:t>)</w:t>
      </w:r>
    </w:p>
  </w:footnote>
  <w:footnote w:id="4">
    <w:p w:rsidR="004B73E4" w:rsidRPr="00EA6FE1" w:rsidRDefault="004B73E4" w:rsidP="00211E4E">
      <w:pPr>
        <w:pStyle w:val="aff0"/>
        <w:spacing w:line="240" w:lineRule="auto"/>
        <w:ind w:firstLine="0"/>
        <w:rPr>
          <w:sz w:val="20"/>
          <w:szCs w:val="20"/>
        </w:rPr>
      </w:pPr>
      <w:r>
        <w:rPr>
          <w:rStyle w:val="affb"/>
        </w:rPr>
        <w:footnoteRef/>
      </w:r>
      <w:r>
        <w:t xml:space="preserve"> </w:t>
      </w:r>
      <w:r>
        <w:rPr>
          <w:sz w:val="20"/>
          <w:szCs w:val="20"/>
        </w:rPr>
        <w:t>д</w:t>
      </w:r>
      <w:r w:rsidRPr="00EA6FE1">
        <w:rPr>
          <w:sz w:val="20"/>
          <w:szCs w:val="20"/>
        </w:rPr>
        <w:t>анные с официального сайта раскрытия информации ПАО «Тольяттиазот» (</w:t>
      </w:r>
      <w:hyperlink r:id="rId2" w:history="1">
        <w:r w:rsidRPr="00EA6FE1">
          <w:rPr>
            <w:rStyle w:val="aff7"/>
            <w:sz w:val="20"/>
            <w:szCs w:val="20"/>
          </w:rPr>
          <w:t>http://www.e-disclosure.ru/portal/files.aspx?id=23343&amp;type=5</w:t>
        </w:r>
      </w:hyperlink>
      <w:r w:rsidRPr="00EA6FE1">
        <w:rPr>
          <w:sz w:val="20"/>
          <w:szCs w:val="20"/>
        </w:rPr>
        <w:t xml:space="preserve">) </w:t>
      </w:r>
    </w:p>
    <w:p w:rsidR="004B73E4" w:rsidRDefault="004B73E4" w:rsidP="00211E4E">
      <w:pPr>
        <w:pStyle w:val="aff"/>
      </w:pPr>
    </w:p>
  </w:footnote>
  <w:footnote w:id="5">
    <w:p w:rsidR="004B73E4" w:rsidRDefault="004B73E4" w:rsidP="00211E4E">
      <w:pPr>
        <w:pStyle w:val="aff"/>
      </w:pPr>
      <w:r>
        <w:rPr>
          <w:rStyle w:val="affb"/>
        </w:rPr>
        <w:footnoteRef/>
      </w:r>
      <w:r>
        <w:t xml:space="preserve"> </w:t>
      </w:r>
      <w:hyperlink r:id="rId3" w:history="1">
        <w:r w:rsidRPr="00623D95">
          <w:rPr>
            <w:rStyle w:val="aff7"/>
          </w:rPr>
          <w:t>https://disclosure.skrin.ru/disclosure/6320002223/?DTI=8</w:t>
        </w:r>
      </w:hyperlink>
      <w:r>
        <w:t xml:space="preserve"> (по состоянию на 16.09.2019 на сайте раскрытия информации «Скрин» отсутствует бухгалтерская (финансовая) отчетность за 2018 год (годовая) и 2019 год (квартальная) в связи с изменением с 05.06.2019 организационно-правовой формы с «ПАО» на «АО».</w:t>
      </w:r>
    </w:p>
  </w:footnote>
  <w:footnote w:id="6">
    <w:p w:rsidR="004B73E4" w:rsidRDefault="004B73E4" w:rsidP="00211E4E">
      <w:pPr>
        <w:pStyle w:val="aff"/>
        <w:rPr>
          <w:rStyle w:val="aff7"/>
        </w:rPr>
      </w:pPr>
      <w:r>
        <w:rPr>
          <w:rStyle w:val="affb"/>
        </w:rPr>
        <w:footnoteRef/>
      </w:r>
      <w:r>
        <w:t xml:space="preserve">  Темпы снижения объемов возмещения НДС в химическом производстве рассчитаны по данным форм налоговой отчетности 1-НОМ по Самарской области по состоянию на 01.01.2018, на 01.07.2019, размещенным на сайте Федеральной налоговой службы Российской Федерации </w:t>
      </w:r>
      <w:hyperlink r:id="rId4" w:history="1">
        <w:r w:rsidRPr="009B662A">
          <w:rPr>
            <w:rStyle w:val="aff7"/>
          </w:rPr>
          <w:t>https://www.nalog.ru/rn77/related_activities/statistics_and_analytics/forms/</w:t>
        </w:r>
      </w:hyperlink>
      <w:r>
        <w:rPr>
          <w:rStyle w:val="aff7"/>
        </w:rPr>
        <w:t xml:space="preserve">. </w:t>
      </w:r>
    </w:p>
    <w:p w:rsidR="004B73E4" w:rsidRDefault="004B73E4" w:rsidP="00211E4E">
      <w:pPr>
        <w:pStyle w:val="aff"/>
      </w:pPr>
      <w:r>
        <w:t>При этом по данным Самарской таможни за 1 полугодие 2019 года экспорт химических продуктов, каучуков по городскому округу Тольятти по сравнению с соответствующим периодом прошлого года снизился на 17,7% (на 119,6 тыс. долларов США) до 674,2 тыс. долларов США.</w:t>
      </w:r>
    </w:p>
  </w:footnote>
  <w:footnote w:id="7">
    <w:p w:rsidR="004B73E4" w:rsidRDefault="004B73E4" w:rsidP="00211E4E">
      <w:pPr>
        <w:pStyle w:val="aff"/>
      </w:pPr>
      <w:r>
        <w:rPr>
          <w:rStyle w:val="affb"/>
        </w:rPr>
        <w:footnoteRef/>
      </w:r>
      <w:r>
        <w:t xml:space="preserve"> </w:t>
      </w:r>
      <w:r w:rsidRPr="00C93EB1">
        <w:t>до 2018 года в отношении движимого имущества организаций была установлена ставка «0»; с 01.01.2018 льготный период закончился</w:t>
      </w:r>
      <w:r>
        <w:t>,</w:t>
      </w:r>
      <w:r w:rsidRPr="00C93EB1">
        <w:t xml:space="preserve"> и полномочия по установлению льгот по налогу были переданы на областной уровень; Самарская область на 2018 год льготу не вводила, и поступления </w:t>
      </w:r>
      <w:r>
        <w:t>в</w:t>
      </w:r>
      <w:r w:rsidRPr="00C93EB1">
        <w:t xml:space="preserve"> 2018 год</w:t>
      </w:r>
      <w:r>
        <w:t>у</w:t>
      </w:r>
      <w:r w:rsidRPr="00C93EB1">
        <w:t xml:space="preserve"> по сравнению с 2017 годом выросли на 18,9%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E4" w:rsidRDefault="004B73E4">
    <w:pPr>
      <w:pStyle w:val="af7"/>
      <w:jc w:val="center"/>
    </w:pPr>
    <w:r>
      <w:fldChar w:fldCharType="begin"/>
    </w:r>
    <w:r>
      <w:instrText xml:space="preserve"> PAGE </w:instrText>
    </w:r>
    <w:r>
      <w:fldChar w:fldCharType="separate"/>
    </w:r>
    <w:r w:rsidR="009B3E45">
      <w:rPr>
        <w:noProof/>
      </w:rPr>
      <w:t>1</w:t>
    </w:r>
    <w:r>
      <w:rPr>
        <w:noProof/>
      </w:rPr>
      <w:fldChar w:fldCharType="end"/>
    </w:r>
  </w:p>
  <w:p w:rsidR="004B73E4" w:rsidRDefault="004B73E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-180"/>
        </w:tabs>
        <w:ind w:left="180" w:hanging="360"/>
      </w:pPr>
      <w:rPr>
        <w:rFonts w:ascii="Symbol" w:hAnsi="Symbol" w:cs="Symbol"/>
      </w:rPr>
    </w:lvl>
  </w:abstractNum>
  <w:abstractNum w:abstractNumId="4" w15:restartNumberingAfterBreak="0">
    <w:nsid w:val="069A6F1D"/>
    <w:multiLevelType w:val="hybridMultilevel"/>
    <w:tmpl w:val="7454473C"/>
    <w:lvl w:ilvl="0" w:tplc="77628C3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0ED23F6F"/>
    <w:multiLevelType w:val="hybridMultilevel"/>
    <w:tmpl w:val="996E7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530EEE"/>
    <w:multiLevelType w:val="hybridMultilevel"/>
    <w:tmpl w:val="9000DC68"/>
    <w:lvl w:ilvl="0" w:tplc="1BEC7E02">
      <w:start w:val="4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09605F1"/>
    <w:multiLevelType w:val="hybridMultilevel"/>
    <w:tmpl w:val="A47E0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7450F6"/>
    <w:multiLevelType w:val="hybridMultilevel"/>
    <w:tmpl w:val="E264BE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A1631D"/>
    <w:multiLevelType w:val="hybridMultilevel"/>
    <w:tmpl w:val="D222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746F4"/>
    <w:multiLevelType w:val="hybridMultilevel"/>
    <w:tmpl w:val="CA0E289E"/>
    <w:lvl w:ilvl="0" w:tplc="3DF8BF7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54B4E1C"/>
    <w:multiLevelType w:val="hybridMultilevel"/>
    <w:tmpl w:val="7A2E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F2D36"/>
    <w:multiLevelType w:val="hybridMultilevel"/>
    <w:tmpl w:val="22AA41DC"/>
    <w:lvl w:ilvl="0" w:tplc="94CE443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9311A52"/>
    <w:multiLevelType w:val="hybridMultilevel"/>
    <w:tmpl w:val="E3D2A776"/>
    <w:lvl w:ilvl="0" w:tplc="8AD0F9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F944B4"/>
    <w:multiLevelType w:val="hybridMultilevel"/>
    <w:tmpl w:val="A428FBBE"/>
    <w:lvl w:ilvl="0" w:tplc="55B225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4672D46"/>
    <w:multiLevelType w:val="hybridMultilevel"/>
    <w:tmpl w:val="85EE8240"/>
    <w:lvl w:ilvl="0" w:tplc="C65C3A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F0D47E8"/>
    <w:multiLevelType w:val="hybridMultilevel"/>
    <w:tmpl w:val="9580B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D3588F"/>
    <w:multiLevelType w:val="hybridMultilevel"/>
    <w:tmpl w:val="F558D436"/>
    <w:lvl w:ilvl="0" w:tplc="D1125C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C040711"/>
    <w:multiLevelType w:val="hybridMultilevel"/>
    <w:tmpl w:val="8096684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7CFB0CBC"/>
    <w:multiLevelType w:val="hybridMultilevel"/>
    <w:tmpl w:val="66AC2B6A"/>
    <w:lvl w:ilvl="0" w:tplc="3104EC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5"/>
  </w:num>
  <w:num w:numId="9">
    <w:abstractNumId w:val="17"/>
  </w:num>
  <w:num w:numId="10">
    <w:abstractNumId w:val="19"/>
  </w:num>
  <w:num w:numId="11">
    <w:abstractNumId w:val="7"/>
  </w:num>
  <w:num w:numId="12">
    <w:abstractNumId w:val="14"/>
  </w:num>
  <w:num w:numId="13">
    <w:abstractNumId w:val="18"/>
  </w:num>
  <w:num w:numId="14">
    <w:abstractNumId w:val="9"/>
  </w:num>
  <w:num w:numId="15">
    <w:abstractNumId w:val="13"/>
  </w:num>
  <w:num w:numId="16">
    <w:abstractNumId w:val="6"/>
  </w:num>
  <w:num w:numId="17">
    <w:abstractNumId w:val="8"/>
  </w:num>
  <w:num w:numId="18">
    <w:abstractNumId w:val="3"/>
  </w:num>
  <w:num w:numId="19">
    <w:abstractNumId w:val="11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A8"/>
    <w:rsid w:val="000007C6"/>
    <w:rsid w:val="00000D3B"/>
    <w:rsid w:val="00000D7A"/>
    <w:rsid w:val="00000DB9"/>
    <w:rsid w:val="00001381"/>
    <w:rsid w:val="00001F11"/>
    <w:rsid w:val="00002636"/>
    <w:rsid w:val="00003FA1"/>
    <w:rsid w:val="00004325"/>
    <w:rsid w:val="00006079"/>
    <w:rsid w:val="00010D06"/>
    <w:rsid w:val="000114D5"/>
    <w:rsid w:val="00012904"/>
    <w:rsid w:val="00012FC0"/>
    <w:rsid w:val="00014594"/>
    <w:rsid w:val="000145B6"/>
    <w:rsid w:val="000149E7"/>
    <w:rsid w:val="0001660B"/>
    <w:rsid w:val="0001678C"/>
    <w:rsid w:val="0001717F"/>
    <w:rsid w:val="00017390"/>
    <w:rsid w:val="00017E75"/>
    <w:rsid w:val="000203F9"/>
    <w:rsid w:val="000209B8"/>
    <w:rsid w:val="00021662"/>
    <w:rsid w:val="00021EC8"/>
    <w:rsid w:val="00021F14"/>
    <w:rsid w:val="0002266D"/>
    <w:rsid w:val="00022EEA"/>
    <w:rsid w:val="00023714"/>
    <w:rsid w:val="0002631F"/>
    <w:rsid w:val="00026601"/>
    <w:rsid w:val="000266F9"/>
    <w:rsid w:val="00027DB6"/>
    <w:rsid w:val="0003059F"/>
    <w:rsid w:val="00030683"/>
    <w:rsid w:val="00030C71"/>
    <w:rsid w:val="000316E5"/>
    <w:rsid w:val="0003336A"/>
    <w:rsid w:val="00033382"/>
    <w:rsid w:val="00034112"/>
    <w:rsid w:val="000343C8"/>
    <w:rsid w:val="00034540"/>
    <w:rsid w:val="00034B55"/>
    <w:rsid w:val="00034D05"/>
    <w:rsid w:val="000355FA"/>
    <w:rsid w:val="00035637"/>
    <w:rsid w:val="00035FAE"/>
    <w:rsid w:val="000361BF"/>
    <w:rsid w:val="000361CC"/>
    <w:rsid w:val="00036307"/>
    <w:rsid w:val="00036D9B"/>
    <w:rsid w:val="00040910"/>
    <w:rsid w:val="00041093"/>
    <w:rsid w:val="000420C4"/>
    <w:rsid w:val="00042595"/>
    <w:rsid w:val="00044238"/>
    <w:rsid w:val="000447D9"/>
    <w:rsid w:val="00044D69"/>
    <w:rsid w:val="00045EE6"/>
    <w:rsid w:val="000461F5"/>
    <w:rsid w:val="0004675F"/>
    <w:rsid w:val="00047083"/>
    <w:rsid w:val="000471E0"/>
    <w:rsid w:val="0005141D"/>
    <w:rsid w:val="0005237A"/>
    <w:rsid w:val="00052CC0"/>
    <w:rsid w:val="0005370E"/>
    <w:rsid w:val="00053D89"/>
    <w:rsid w:val="00055BD3"/>
    <w:rsid w:val="0005613F"/>
    <w:rsid w:val="00056B5C"/>
    <w:rsid w:val="000604DF"/>
    <w:rsid w:val="0006149C"/>
    <w:rsid w:val="0006286B"/>
    <w:rsid w:val="00062D16"/>
    <w:rsid w:val="000630E5"/>
    <w:rsid w:val="000648E6"/>
    <w:rsid w:val="00065118"/>
    <w:rsid w:val="0006581E"/>
    <w:rsid w:val="0006670E"/>
    <w:rsid w:val="00066E74"/>
    <w:rsid w:val="000672B5"/>
    <w:rsid w:val="00067BA5"/>
    <w:rsid w:val="00070DA2"/>
    <w:rsid w:val="00072DB6"/>
    <w:rsid w:val="00074159"/>
    <w:rsid w:val="0007494B"/>
    <w:rsid w:val="00075511"/>
    <w:rsid w:val="00076DD1"/>
    <w:rsid w:val="00077747"/>
    <w:rsid w:val="000821C9"/>
    <w:rsid w:val="00082903"/>
    <w:rsid w:val="00084E27"/>
    <w:rsid w:val="000855F9"/>
    <w:rsid w:val="00090080"/>
    <w:rsid w:val="0009090B"/>
    <w:rsid w:val="0009173C"/>
    <w:rsid w:val="000930C4"/>
    <w:rsid w:val="000932D5"/>
    <w:rsid w:val="00093E1E"/>
    <w:rsid w:val="00093EC9"/>
    <w:rsid w:val="00094DE7"/>
    <w:rsid w:val="00095150"/>
    <w:rsid w:val="00095C66"/>
    <w:rsid w:val="00095D52"/>
    <w:rsid w:val="000A214A"/>
    <w:rsid w:val="000A276D"/>
    <w:rsid w:val="000A2FDD"/>
    <w:rsid w:val="000A315C"/>
    <w:rsid w:val="000A35E6"/>
    <w:rsid w:val="000A372A"/>
    <w:rsid w:val="000A469F"/>
    <w:rsid w:val="000A5B43"/>
    <w:rsid w:val="000A5FFF"/>
    <w:rsid w:val="000A6441"/>
    <w:rsid w:val="000A7005"/>
    <w:rsid w:val="000A702F"/>
    <w:rsid w:val="000B04AD"/>
    <w:rsid w:val="000B16D3"/>
    <w:rsid w:val="000B1CDE"/>
    <w:rsid w:val="000B2048"/>
    <w:rsid w:val="000B230E"/>
    <w:rsid w:val="000B2CF6"/>
    <w:rsid w:val="000B3238"/>
    <w:rsid w:val="000B33C3"/>
    <w:rsid w:val="000B37F9"/>
    <w:rsid w:val="000B55CF"/>
    <w:rsid w:val="000B7481"/>
    <w:rsid w:val="000B763D"/>
    <w:rsid w:val="000C0544"/>
    <w:rsid w:val="000C0964"/>
    <w:rsid w:val="000C1CFC"/>
    <w:rsid w:val="000C4812"/>
    <w:rsid w:val="000C521E"/>
    <w:rsid w:val="000C60F8"/>
    <w:rsid w:val="000C72C2"/>
    <w:rsid w:val="000C7967"/>
    <w:rsid w:val="000D0A06"/>
    <w:rsid w:val="000D15D8"/>
    <w:rsid w:val="000D2102"/>
    <w:rsid w:val="000D373A"/>
    <w:rsid w:val="000D3FB7"/>
    <w:rsid w:val="000D5F59"/>
    <w:rsid w:val="000D5F86"/>
    <w:rsid w:val="000D6067"/>
    <w:rsid w:val="000D625A"/>
    <w:rsid w:val="000D65F2"/>
    <w:rsid w:val="000E0070"/>
    <w:rsid w:val="000E0B35"/>
    <w:rsid w:val="000E21EE"/>
    <w:rsid w:val="000E3B4F"/>
    <w:rsid w:val="000E5264"/>
    <w:rsid w:val="000E5757"/>
    <w:rsid w:val="000E5F1C"/>
    <w:rsid w:val="000E6A18"/>
    <w:rsid w:val="000E7694"/>
    <w:rsid w:val="000F2C3F"/>
    <w:rsid w:val="000F38A2"/>
    <w:rsid w:val="000F4707"/>
    <w:rsid w:val="000F5D50"/>
    <w:rsid w:val="000F6FCF"/>
    <w:rsid w:val="000F746B"/>
    <w:rsid w:val="000F750F"/>
    <w:rsid w:val="000F778D"/>
    <w:rsid w:val="00100E26"/>
    <w:rsid w:val="0010160E"/>
    <w:rsid w:val="00101706"/>
    <w:rsid w:val="0010177F"/>
    <w:rsid w:val="00102828"/>
    <w:rsid w:val="0010299D"/>
    <w:rsid w:val="00107F63"/>
    <w:rsid w:val="00110699"/>
    <w:rsid w:val="00112977"/>
    <w:rsid w:val="0011346A"/>
    <w:rsid w:val="001137DB"/>
    <w:rsid w:val="001144E4"/>
    <w:rsid w:val="00114F76"/>
    <w:rsid w:val="00114F92"/>
    <w:rsid w:val="001159F3"/>
    <w:rsid w:val="00115D41"/>
    <w:rsid w:val="001176BE"/>
    <w:rsid w:val="00117ADB"/>
    <w:rsid w:val="00121538"/>
    <w:rsid w:val="001217FA"/>
    <w:rsid w:val="00121AEE"/>
    <w:rsid w:val="001222AA"/>
    <w:rsid w:val="00122A0C"/>
    <w:rsid w:val="001230CF"/>
    <w:rsid w:val="00123A7D"/>
    <w:rsid w:val="00123DEF"/>
    <w:rsid w:val="00123F4E"/>
    <w:rsid w:val="001252A0"/>
    <w:rsid w:val="0013060D"/>
    <w:rsid w:val="00130B51"/>
    <w:rsid w:val="00130DA4"/>
    <w:rsid w:val="00130FF5"/>
    <w:rsid w:val="00131A7B"/>
    <w:rsid w:val="00133CE0"/>
    <w:rsid w:val="001344E4"/>
    <w:rsid w:val="00134880"/>
    <w:rsid w:val="00134EB1"/>
    <w:rsid w:val="001352A3"/>
    <w:rsid w:val="001401FE"/>
    <w:rsid w:val="00140D9A"/>
    <w:rsid w:val="001412E1"/>
    <w:rsid w:val="0014133C"/>
    <w:rsid w:val="0014212F"/>
    <w:rsid w:val="00143109"/>
    <w:rsid w:val="0014323C"/>
    <w:rsid w:val="00144617"/>
    <w:rsid w:val="00144B3F"/>
    <w:rsid w:val="00144F51"/>
    <w:rsid w:val="0014678A"/>
    <w:rsid w:val="001479D2"/>
    <w:rsid w:val="001500E7"/>
    <w:rsid w:val="00150E4F"/>
    <w:rsid w:val="00151614"/>
    <w:rsid w:val="00152108"/>
    <w:rsid w:val="00152387"/>
    <w:rsid w:val="00152576"/>
    <w:rsid w:val="001527B8"/>
    <w:rsid w:val="0015336A"/>
    <w:rsid w:val="001536D2"/>
    <w:rsid w:val="00153A3A"/>
    <w:rsid w:val="00153B9D"/>
    <w:rsid w:val="00155DCC"/>
    <w:rsid w:val="00161D52"/>
    <w:rsid w:val="00162AA2"/>
    <w:rsid w:val="00163383"/>
    <w:rsid w:val="0016546B"/>
    <w:rsid w:val="001659E8"/>
    <w:rsid w:val="00166C79"/>
    <w:rsid w:val="001671E2"/>
    <w:rsid w:val="00167E99"/>
    <w:rsid w:val="0017075F"/>
    <w:rsid w:val="00171AEB"/>
    <w:rsid w:val="001722D1"/>
    <w:rsid w:val="0017361F"/>
    <w:rsid w:val="00174517"/>
    <w:rsid w:val="00174B55"/>
    <w:rsid w:val="00176C70"/>
    <w:rsid w:val="00177095"/>
    <w:rsid w:val="0017762F"/>
    <w:rsid w:val="00181CDE"/>
    <w:rsid w:val="001822F1"/>
    <w:rsid w:val="00182532"/>
    <w:rsid w:val="00182F98"/>
    <w:rsid w:val="0018329D"/>
    <w:rsid w:val="001837CB"/>
    <w:rsid w:val="00184201"/>
    <w:rsid w:val="00184265"/>
    <w:rsid w:val="00184ED7"/>
    <w:rsid w:val="00185030"/>
    <w:rsid w:val="0018541F"/>
    <w:rsid w:val="00186591"/>
    <w:rsid w:val="001877B9"/>
    <w:rsid w:val="0018782E"/>
    <w:rsid w:val="00187AC1"/>
    <w:rsid w:val="00187C8C"/>
    <w:rsid w:val="00187E07"/>
    <w:rsid w:val="00191994"/>
    <w:rsid w:val="00192D4A"/>
    <w:rsid w:val="00193191"/>
    <w:rsid w:val="001945F2"/>
    <w:rsid w:val="00194DE6"/>
    <w:rsid w:val="00195594"/>
    <w:rsid w:val="00195A96"/>
    <w:rsid w:val="00195E24"/>
    <w:rsid w:val="00196C5D"/>
    <w:rsid w:val="00197010"/>
    <w:rsid w:val="001A1C96"/>
    <w:rsid w:val="001A1E5D"/>
    <w:rsid w:val="001A4E08"/>
    <w:rsid w:val="001A5499"/>
    <w:rsid w:val="001A587D"/>
    <w:rsid w:val="001A650B"/>
    <w:rsid w:val="001A75B1"/>
    <w:rsid w:val="001B0BDD"/>
    <w:rsid w:val="001B1A42"/>
    <w:rsid w:val="001B2844"/>
    <w:rsid w:val="001B2F61"/>
    <w:rsid w:val="001B38A7"/>
    <w:rsid w:val="001B4DAC"/>
    <w:rsid w:val="001B56A5"/>
    <w:rsid w:val="001B56FC"/>
    <w:rsid w:val="001B585E"/>
    <w:rsid w:val="001B67B7"/>
    <w:rsid w:val="001B6970"/>
    <w:rsid w:val="001B6A79"/>
    <w:rsid w:val="001B7C9E"/>
    <w:rsid w:val="001C0044"/>
    <w:rsid w:val="001C0500"/>
    <w:rsid w:val="001C0638"/>
    <w:rsid w:val="001C0C40"/>
    <w:rsid w:val="001C1106"/>
    <w:rsid w:val="001C13A2"/>
    <w:rsid w:val="001C2AC2"/>
    <w:rsid w:val="001C3FED"/>
    <w:rsid w:val="001C4394"/>
    <w:rsid w:val="001C48D7"/>
    <w:rsid w:val="001C4C7B"/>
    <w:rsid w:val="001C5E83"/>
    <w:rsid w:val="001C685D"/>
    <w:rsid w:val="001C6CCE"/>
    <w:rsid w:val="001C72D8"/>
    <w:rsid w:val="001C7BA0"/>
    <w:rsid w:val="001D0AB2"/>
    <w:rsid w:val="001D1658"/>
    <w:rsid w:val="001D2C63"/>
    <w:rsid w:val="001D3079"/>
    <w:rsid w:val="001D468A"/>
    <w:rsid w:val="001D6AFD"/>
    <w:rsid w:val="001D7F51"/>
    <w:rsid w:val="001E1E26"/>
    <w:rsid w:val="001E2140"/>
    <w:rsid w:val="001E3B88"/>
    <w:rsid w:val="001E3FAB"/>
    <w:rsid w:val="001E4143"/>
    <w:rsid w:val="001E4304"/>
    <w:rsid w:val="001E50C5"/>
    <w:rsid w:val="001E521E"/>
    <w:rsid w:val="001E53FA"/>
    <w:rsid w:val="001E67F3"/>
    <w:rsid w:val="001E6966"/>
    <w:rsid w:val="001E6E29"/>
    <w:rsid w:val="001F09B3"/>
    <w:rsid w:val="001F1839"/>
    <w:rsid w:val="001F24D4"/>
    <w:rsid w:val="001F48B0"/>
    <w:rsid w:val="001F4ABD"/>
    <w:rsid w:val="001F4E94"/>
    <w:rsid w:val="001F5AB6"/>
    <w:rsid w:val="001F6122"/>
    <w:rsid w:val="001F76D7"/>
    <w:rsid w:val="00200853"/>
    <w:rsid w:val="002022CD"/>
    <w:rsid w:val="0020274E"/>
    <w:rsid w:val="0020368E"/>
    <w:rsid w:val="00204BD7"/>
    <w:rsid w:val="00205ECE"/>
    <w:rsid w:val="00207323"/>
    <w:rsid w:val="00207688"/>
    <w:rsid w:val="0021124E"/>
    <w:rsid w:val="00211A23"/>
    <w:rsid w:val="00211B38"/>
    <w:rsid w:val="00211E4E"/>
    <w:rsid w:val="00214E7B"/>
    <w:rsid w:val="002162B5"/>
    <w:rsid w:val="002167C7"/>
    <w:rsid w:val="00217DA2"/>
    <w:rsid w:val="0022026E"/>
    <w:rsid w:val="00220D51"/>
    <w:rsid w:val="00221CF4"/>
    <w:rsid w:val="00222EF4"/>
    <w:rsid w:val="00224B44"/>
    <w:rsid w:val="00224B4F"/>
    <w:rsid w:val="00224F08"/>
    <w:rsid w:val="00226B4C"/>
    <w:rsid w:val="0022710F"/>
    <w:rsid w:val="00227FDE"/>
    <w:rsid w:val="0023072F"/>
    <w:rsid w:val="00230791"/>
    <w:rsid w:val="002333FC"/>
    <w:rsid w:val="0023482F"/>
    <w:rsid w:val="002366A7"/>
    <w:rsid w:val="00237449"/>
    <w:rsid w:val="00240A4D"/>
    <w:rsid w:val="00241C27"/>
    <w:rsid w:val="002421EC"/>
    <w:rsid w:val="00242DB1"/>
    <w:rsid w:val="00242FA8"/>
    <w:rsid w:val="00243A7E"/>
    <w:rsid w:val="00246F0D"/>
    <w:rsid w:val="00247E8A"/>
    <w:rsid w:val="002504AC"/>
    <w:rsid w:val="00250556"/>
    <w:rsid w:val="0025141D"/>
    <w:rsid w:val="00251DD3"/>
    <w:rsid w:val="0025242F"/>
    <w:rsid w:val="002525E8"/>
    <w:rsid w:val="00252C91"/>
    <w:rsid w:val="00253082"/>
    <w:rsid w:val="00253551"/>
    <w:rsid w:val="002546FC"/>
    <w:rsid w:val="00255B85"/>
    <w:rsid w:val="00255BA3"/>
    <w:rsid w:val="00255CF8"/>
    <w:rsid w:val="00256C36"/>
    <w:rsid w:val="00256C45"/>
    <w:rsid w:val="002574EC"/>
    <w:rsid w:val="00257C94"/>
    <w:rsid w:val="002600B1"/>
    <w:rsid w:val="00261604"/>
    <w:rsid w:val="00261A6E"/>
    <w:rsid w:val="00263DE4"/>
    <w:rsid w:val="0026455C"/>
    <w:rsid w:val="00264FBD"/>
    <w:rsid w:val="0026589B"/>
    <w:rsid w:val="00266321"/>
    <w:rsid w:val="002663E9"/>
    <w:rsid w:val="00266419"/>
    <w:rsid w:val="00267938"/>
    <w:rsid w:val="00270AC4"/>
    <w:rsid w:val="00270D94"/>
    <w:rsid w:val="00271409"/>
    <w:rsid w:val="00272724"/>
    <w:rsid w:val="0027426F"/>
    <w:rsid w:val="002742CE"/>
    <w:rsid w:val="00274806"/>
    <w:rsid w:val="00274C2E"/>
    <w:rsid w:val="002756DD"/>
    <w:rsid w:val="00276468"/>
    <w:rsid w:val="002764C2"/>
    <w:rsid w:val="002766EE"/>
    <w:rsid w:val="0027674B"/>
    <w:rsid w:val="00276829"/>
    <w:rsid w:val="00276D5E"/>
    <w:rsid w:val="00280277"/>
    <w:rsid w:val="002802E1"/>
    <w:rsid w:val="00280760"/>
    <w:rsid w:val="00281C91"/>
    <w:rsid w:val="002822DB"/>
    <w:rsid w:val="00282625"/>
    <w:rsid w:val="00283D66"/>
    <w:rsid w:val="002841C9"/>
    <w:rsid w:val="00284999"/>
    <w:rsid w:val="0028646C"/>
    <w:rsid w:val="00287CE2"/>
    <w:rsid w:val="002903D8"/>
    <w:rsid w:val="0029233B"/>
    <w:rsid w:val="00292871"/>
    <w:rsid w:val="00294480"/>
    <w:rsid w:val="002949F5"/>
    <w:rsid w:val="00294AA3"/>
    <w:rsid w:val="00294BAB"/>
    <w:rsid w:val="00294CA1"/>
    <w:rsid w:val="002951FD"/>
    <w:rsid w:val="00295A01"/>
    <w:rsid w:val="00296A3F"/>
    <w:rsid w:val="0029758C"/>
    <w:rsid w:val="002A026C"/>
    <w:rsid w:val="002A0CAD"/>
    <w:rsid w:val="002A2389"/>
    <w:rsid w:val="002A32D1"/>
    <w:rsid w:val="002A386D"/>
    <w:rsid w:val="002A4366"/>
    <w:rsid w:val="002A4BA9"/>
    <w:rsid w:val="002A4BDE"/>
    <w:rsid w:val="002A5241"/>
    <w:rsid w:val="002A65CC"/>
    <w:rsid w:val="002A789C"/>
    <w:rsid w:val="002B0189"/>
    <w:rsid w:val="002B0660"/>
    <w:rsid w:val="002B0A9C"/>
    <w:rsid w:val="002B19D9"/>
    <w:rsid w:val="002B2437"/>
    <w:rsid w:val="002B2C96"/>
    <w:rsid w:val="002B382C"/>
    <w:rsid w:val="002B3D0F"/>
    <w:rsid w:val="002B40E8"/>
    <w:rsid w:val="002B427D"/>
    <w:rsid w:val="002B5024"/>
    <w:rsid w:val="002B6471"/>
    <w:rsid w:val="002B6B82"/>
    <w:rsid w:val="002B7B2F"/>
    <w:rsid w:val="002C02AE"/>
    <w:rsid w:val="002C113E"/>
    <w:rsid w:val="002C1248"/>
    <w:rsid w:val="002C29BD"/>
    <w:rsid w:val="002C45DB"/>
    <w:rsid w:val="002C4D6C"/>
    <w:rsid w:val="002C6A11"/>
    <w:rsid w:val="002D0FA0"/>
    <w:rsid w:val="002D218C"/>
    <w:rsid w:val="002D3207"/>
    <w:rsid w:val="002D689A"/>
    <w:rsid w:val="002E1824"/>
    <w:rsid w:val="002E2771"/>
    <w:rsid w:val="002E281A"/>
    <w:rsid w:val="002E2E87"/>
    <w:rsid w:val="002E4072"/>
    <w:rsid w:val="002E4DA4"/>
    <w:rsid w:val="002E4FC0"/>
    <w:rsid w:val="002E756D"/>
    <w:rsid w:val="002F127A"/>
    <w:rsid w:val="002F1CCE"/>
    <w:rsid w:val="002F31F7"/>
    <w:rsid w:val="002F42D0"/>
    <w:rsid w:val="002F4919"/>
    <w:rsid w:val="002F5CB7"/>
    <w:rsid w:val="002F7A00"/>
    <w:rsid w:val="002F7BFD"/>
    <w:rsid w:val="00300FF8"/>
    <w:rsid w:val="00302822"/>
    <w:rsid w:val="00303B57"/>
    <w:rsid w:val="0030413B"/>
    <w:rsid w:val="00305C4E"/>
    <w:rsid w:val="00307119"/>
    <w:rsid w:val="0030769A"/>
    <w:rsid w:val="00307822"/>
    <w:rsid w:val="00310CD0"/>
    <w:rsid w:val="003132E4"/>
    <w:rsid w:val="0031346E"/>
    <w:rsid w:val="00313C3B"/>
    <w:rsid w:val="0031526C"/>
    <w:rsid w:val="00316125"/>
    <w:rsid w:val="003165B6"/>
    <w:rsid w:val="003168E7"/>
    <w:rsid w:val="00317C62"/>
    <w:rsid w:val="00320E0B"/>
    <w:rsid w:val="00321E62"/>
    <w:rsid w:val="003220AD"/>
    <w:rsid w:val="003227FD"/>
    <w:rsid w:val="00322960"/>
    <w:rsid w:val="00323267"/>
    <w:rsid w:val="00323830"/>
    <w:rsid w:val="00323D36"/>
    <w:rsid w:val="00323FBB"/>
    <w:rsid w:val="00324BA6"/>
    <w:rsid w:val="003250E6"/>
    <w:rsid w:val="00326226"/>
    <w:rsid w:val="00326ED6"/>
    <w:rsid w:val="0033116F"/>
    <w:rsid w:val="00331414"/>
    <w:rsid w:val="00331740"/>
    <w:rsid w:val="00331A4E"/>
    <w:rsid w:val="00333823"/>
    <w:rsid w:val="00334672"/>
    <w:rsid w:val="00334ED8"/>
    <w:rsid w:val="003366ED"/>
    <w:rsid w:val="00336EFF"/>
    <w:rsid w:val="00337129"/>
    <w:rsid w:val="003402BB"/>
    <w:rsid w:val="00340C80"/>
    <w:rsid w:val="0034264B"/>
    <w:rsid w:val="00342822"/>
    <w:rsid w:val="003434B7"/>
    <w:rsid w:val="00343764"/>
    <w:rsid w:val="00343B1F"/>
    <w:rsid w:val="00343E7E"/>
    <w:rsid w:val="00344442"/>
    <w:rsid w:val="00345BF3"/>
    <w:rsid w:val="00345CD6"/>
    <w:rsid w:val="00346B8F"/>
    <w:rsid w:val="00350049"/>
    <w:rsid w:val="00350D81"/>
    <w:rsid w:val="0035385C"/>
    <w:rsid w:val="003549AF"/>
    <w:rsid w:val="00354A0B"/>
    <w:rsid w:val="00355505"/>
    <w:rsid w:val="00356A06"/>
    <w:rsid w:val="00356B26"/>
    <w:rsid w:val="00357298"/>
    <w:rsid w:val="00361837"/>
    <w:rsid w:val="00362A83"/>
    <w:rsid w:val="00363361"/>
    <w:rsid w:val="00365B99"/>
    <w:rsid w:val="00365DC1"/>
    <w:rsid w:val="0036741E"/>
    <w:rsid w:val="00370F4C"/>
    <w:rsid w:val="00370FDE"/>
    <w:rsid w:val="00371353"/>
    <w:rsid w:val="00371518"/>
    <w:rsid w:val="003725DD"/>
    <w:rsid w:val="00374742"/>
    <w:rsid w:val="00374873"/>
    <w:rsid w:val="003749DB"/>
    <w:rsid w:val="00374F38"/>
    <w:rsid w:val="00380B73"/>
    <w:rsid w:val="00380BFA"/>
    <w:rsid w:val="00381155"/>
    <w:rsid w:val="0038334C"/>
    <w:rsid w:val="003837EF"/>
    <w:rsid w:val="003838F4"/>
    <w:rsid w:val="00383B9B"/>
    <w:rsid w:val="00385EA4"/>
    <w:rsid w:val="00387E34"/>
    <w:rsid w:val="00390735"/>
    <w:rsid w:val="0039255B"/>
    <w:rsid w:val="00392DFF"/>
    <w:rsid w:val="003930B6"/>
    <w:rsid w:val="003935C4"/>
    <w:rsid w:val="00394A4D"/>
    <w:rsid w:val="00395368"/>
    <w:rsid w:val="0039540C"/>
    <w:rsid w:val="003968DD"/>
    <w:rsid w:val="00396E82"/>
    <w:rsid w:val="00396FCA"/>
    <w:rsid w:val="003978C8"/>
    <w:rsid w:val="003A0584"/>
    <w:rsid w:val="003A16B3"/>
    <w:rsid w:val="003A196A"/>
    <w:rsid w:val="003A2DD8"/>
    <w:rsid w:val="003A3963"/>
    <w:rsid w:val="003A4C12"/>
    <w:rsid w:val="003A55F6"/>
    <w:rsid w:val="003A64FD"/>
    <w:rsid w:val="003A6737"/>
    <w:rsid w:val="003B001D"/>
    <w:rsid w:val="003B10C1"/>
    <w:rsid w:val="003B1277"/>
    <w:rsid w:val="003B19AD"/>
    <w:rsid w:val="003B19E3"/>
    <w:rsid w:val="003B1B5C"/>
    <w:rsid w:val="003B34DA"/>
    <w:rsid w:val="003B5074"/>
    <w:rsid w:val="003B50B9"/>
    <w:rsid w:val="003B59D5"/>
    <w:rsid w:val="003B6AF7"/>
    <w:rsid w:val="003B724F"/>
    <w:rsid w:val="003B7DC4"/>
    <w:rsid w:val="003C1BEE"/>
    <w:rsid w:val="003C2266"/>
    <w:rsid w:val="003C2DA5"/>
    <w:rsid w:val="003C3D26"/>
    <w:rsid w:val="003C5ACF"/>
    <w:rsid w:val="003C60A8"/>
    <w:rsid w:val="003C659A"/>
    <w:rsid w:val="003C75C2"/>
    <w:rsid w:val="003D0DEC"/>
    <w:rsid w:val="003D12B3"/>
    <w:rsid w:val="003D215D"/>
    <w:rsid w:val="003D30D1"/>
    <w:rsid w:val="003D3525"/>
    <w:rsid w:val="003D3EB9"/>
    <w:rsid w:val="003D6196"/>
    <w:rsid w:val="003D703D"/>
    <w:rsid w:val="003E0CAC"/>
    <w:rsid w:val="003E208E"/>
    <w:rsid w:val="003E2547"/>
    <w:rsid w:val="003E43EA"/>
    <w:rsid w:val="003E57C3"/>
    <w:rsid w:val="003E7122"/>
    <w:rsid w:val="003E77FB"/>
    <w:rsid w:val="003E780F"/>
    <w:rsid w:val="003F29E0"/>
    <w:rsid w:val="003F2C37"/>
    <w:rsid w:val="003F406A"/>
    <w:rsid w:val="003F48BF"/>
    <w:rsid w:val="003F4F2E"/>
    <w:rsid w:val="003F5041"/>
    <w:rsid w:val="003F5152"/>
    <w:rsid w:val="003F57D1"/>
    <w:rsid w:val="003F5A5E"/>
    <w:rsid w:val="003F74A7"/>
    <w:rsid w:val="00400AD2"/>
    <w:rsid w:val="00400D5D"/>
    <w:rsid w:val="004017B0"/>
    <w:rsid w:val="00401E67"/>
    <w:rsid w:val="004027F6"/>
    <w:rsid w:val="00402B1E"/>
    <w:rsid w:val="00403938"/>
    <w:rsid w:val="004048D8"/>
    <w:rsid w:val="00404FFF"/>
    <w:rsid w:val="004073E3"/>
    <w:rsid w:val="004106B0"/>
    <w:rsid w:val="0041223A"/>
    <w:rsid w:val="0041224B"/>
    <w:rsid w:val="00412284"/>
    <w:rsid w:val="0041236D"/>
    <w:rsid w:val="00412AF5"/>
    <w:rsid w:val="00413709"/>
    <w:rsid w:val="00415338"/>
    <w:rsid w:val="00415884"/>
    <w:rsid w:val="004168B6"/>
    <w:rsid w:val="00417916"/>
    <w:rsid w:val="00417988"/>
    <w:rsid w:val="0042211A"/>
    <w:rsid w:val="00423AB1"/>
    <w:rsid w:val="00423ACC"/>
    <w:rsid w:val="00423B41"/>
    <w:rsid w:val="00423EDD"/>
    <w:rsid w:val="004247B6"/>
    <w:rsid w:val="00424AE5"/>
    <w:rsid w:val="00424FCB"/>
    <w:rsid w:val="00425C38"/>
    <w:rsid w:val="00427438"/>
    <w:rsid w:val="0043035E"/>
    <w:rsid w:val="00430614"/>
    <w:rsid w:val="00430F43"/>
    <w:rsid w:val="00430FCB"/>
    <w:rsid w:val="0043237E"/>
    <w:rsid w:val="00434444"/>
    <w:rsid w:val="00435C4F"/>
    <w:rsid w:val="00436CB8"/>
    <w:rsid w:val="0044094E"/>
    <w:rsid w:val="00440F18"/>
    <w:rsid w:val="0044189F"/>
    <w:rsid w:val="004421C7"/>
    <w:rsid w:val="00442E64"/>
    <w:rsid w:val="004432C0"/>
    <w:rsid w:val="004434AB"/>
    <w:rsid w:val="004435FA"/>
    <w:rsid w:val="00443D9E"/>
    <w:rsid w:val="00443E1D"/>
    <w:rsid w:val="00443E24"/>
    <w:rsid w:val="00443EE9"/>
    <w:rsid w:val="00445D61"/>
    <w:rsid w:val="00446981"/>
    <w:rsid w:val="0044732A"/>
    <w:rsid w:val="004504C0"/>
    <w:rsid w:val="00450B72"/>
    <w:rsid w:val="00450DDB"/>
    <w:rsid w:val="0045166E"/>
    <w:rsid w:val="00452709"/>
    <w:rsid w:val="00453026"/>
    <w:rsid w:val="004539AA"/>
    <w:rsid w:val="00456C39"/>
    <w:rsid w:val="00456F03"/>
    <w:rsid w:val="004602F9"/>
    <w:rsid w:val="0046127B"/>
    <w:rsid w:val="004625E4"/>
    <w:rsid w:val="0046262B"/>
    <w:rsid w:val="004631AF"/>
    <w:rsid w:val="004647B1"/>
    <w:rsid w:val="00464E6A"/>
    <w:rsid w:val="00464EE1"/>
    <w:rsid w:val="00465771"/>
    <w:rsid w:val="00466830"/>
    <w:rsid w:val="00466F33"/>
    <w:rsid w:val="0047134E"/>
    <w:rsid w:val="0047174C"/>
    <w:rsid w:val="00474FD9"/>
    <w:rsid w:val="004750CE"/>
    <w:rsid w:val="00475CC6"/>
    <w:rsid w:val="00475F86"/>
    <w:rsid w:val="0047776E"/>
    <w:rsid w:val="00477A58"/>
    <w:rsid w:val="00480089"/>
    <w:rsid w:val="00480434"/>
    <w:rsid w:val="0048046B"/>
    <w:rsid w:val="00480F88"/>
    <w:rsid w:val="004818DD"/>
    <w:rsid w:val="0048228E"/>
    <w:rsid w:val="00483478"/>
    <w:rsid w:val="00483537"/>
    <w:rsid w:val="0048440B"/>
    <w:rsid w:val="004849DE"/>
    <w:rsid w:val="00484ECC"/>
    <w:rsid w:val="004860B6"/>
    <w:rsid w:val="00486670"/>
    <w:rsid w:val="0048673A"/>
    <w:rsid w:val="00486752"/>
    <w:rsid w:val="004867A9"/>
    <w:rsid w:val="0049099D"/>
    <w:rsid w:val="00490B1D"/>
    <w:rsid w:val="0049135C"/>
    <w:rsid w:val="00491745"/>
    <w:rsid w:val="00493CBE"/>
    <w:rsid w:val="00493FC3"/>
    <w:rsid w:val="00495310"/>
    <w:rsid w:val="00495897"/>
    <w:rsid w:val="004A053C"/>
    <w:rsid w:val="004A060D"/>
    <w:rsid w:val="004A1F47"/>
    <w:rsid w:val="004A24B9"/>
    <w:rsid w:val="004A3FC1"/>
    <w:rsid w:val="004A41D0"/>
    <w:rsid w:val="004A426B"/>
    <w:rsid w:val="004A4357"/>
    <w:rsid w:val="004A455B"/>
    <w:rsid w:val="004A4689"/>
    <w:rsid w:val="004A46AA"/>
    <w:rsid w:val="004A47C7"/>
    <w:rsid w:val="004A704B"/>
    <w:rsid w:val="004B0EAE"/>
    <w:rsid w:val="004B150E"/>
    <w:rsid w:val="004B1810"/>
    <w:rsid w:val="004B43A3"/>
    <w:rsid w:val="004B5BD5"/>
    <w:rsid w:val="004B5D26"/>
    <w:rsid w:val="004B64C0"/>
    <w:rsid w:val="004B67FF"/>
    <w:rsid w:val="004B7045"/>
    <w:rsid w:val="004B73E4"/>
    <w:rsid w:val="004B77FC"/>
    <w:rsid w:val="004B7C3B"/>
    <w:rsid w:val="004C076B"/>
    <w:rsid w:val="004C0A26"/>
    <w:rsid w:val="004C3658"/>
    <w:rsid w:val="004C5140"/>
    <w:rsid w:val="004C5FF7"/>
    <w:rsid w:val="004C7610"/>
    <w:rsid w:val="004C7805"/>
    <w:rsid w:val="004C7840"/>
    <w:rsid w:val="004C7AAB"/>
    <w:rsid w:val="004C7E5D"/>
    <w:rsid w:val="004C7F25"/>
    <w:rsid w:val="004D306A"/>
    <w:rsid w:val="004D3812"/>
    <w:rsid w:val="004D5B07"/>
    <w:rsid w:val="004D6CD5"/>
    <w:rsid w:val="004D720F"/>
    <w:rsid w:val="004D7DBE"/>
    <w:rsid w:val="004E0B46"/>
    <w:rsid w:val="004E1BF6"/>
    <w:rsid w:val="004E4A98"/>
    <w:rsid w:val="004E557E"/>
    <w:rsid w:val="004E5713"/>
    <w:rsid w:val="004E5BB1"/>
    <w:rsid w:val="004E6D5D"/>
    <w:rsid w:val="004E7351"/>
    <w:rsid w:val="004F1235"/>
    <w:rsid w:val="004F1319"/>
    <w:rsid w:val="004F1D2B"/>
    <w:rsid w:val="004F26D4"/>
    <w:rsid w:val="004F3741"/>
    <w:rsid w:val="004F3ED8"/>
    <w:rsid w:val="004F4D65"/>
    <w:rsid w:val="004F5DA9"/>
    <w:rsid w:val="004F5F5B"/>
    <w:rsid w:val="005002E1"/>
    <w:rsid w:val="00501BEA"/>
    <w:rsid w:val="00502633"/>
    <w:rsid w:val="00503E8D"/>
    <w:rsid w:val="00504302"/>
    <w:rsid w:val="00505472"/>
    <w:rsid w:val="00505AFD"/>
    <w:rsid w:val="00505CA1"/>
    <w:rsid w:val="00505F55"/>
    <w:rsid w:val="00506DD2"/>
    <w:rsid w:val="00507518"/>
    <w:rsid w:val="005077F7"/>
    <w:rsid w:val="00511581"/>
    <w:rsid w:val="00512861"/>
    <w:rsid w:val="00512EB3"/>
    <w:rsid w:val="00513D94"/>
    <w:rsid w:val="00515B96"/>
    <w:rsid w:val="0051664F"/>
    <w:rsid w:val="00522C32"/>
    <w:rsid w:val="00524183"/>
    <w:rsid w:val="0052437D"/>
    <w:rsid w:val="00526B71"/>
    <w:rsid w:val="0052727C"/>
    <w:rsid w:val="00527891"/>
    <w:rsid w:val="00530199"/>
    <w:rsid w:val="0053060D"/>
    <w:rsid w:val="005312C4"/>
    <w:rsid w:val="005319C7"/>
    <w:rsid w:val="00532046"/>
    <w:rsid w:val="00532155"/>
    <w:rsid w:val="00533932"/>
    <w:rsid w:val="005349AB"/>
    <w:rsid w:val="00535249"/>
    <w:rsid w:val="005357B0"/>
    <w:rsid w:val="00536336"/>
    <w:rsid w:val="00536354"/>
    <w:rsid w:val="00536F3C"/>
    <w:rsid w:val="00540E1C"/>
    <w:rsid w:val="00540E8B"/>
    <w:rsid w:val="00540EF2"/>
    <w:rsid w:val="00541BAB"/>
    <w:rsid w:val="00543DD0"/>
    <w:rsid w:val="00544676"/>
    <w:rsid w:val="00544EC5"/>
    <w:rsid w:val="005469D6"/>
    <w:rsid w:val="00546A46"/>
    <w:rsid w:val="005473C6"/>
    <w:rsid w:val="00547D18"/>
    <w:rsid w:val="005502D0"/>
    <w:rsid w:val="0055091F"/>
    <w:rsid w:val="00552507"/>
    <w:rsid w:val="00553AA4"/>
    <w:rsid w:val="00555214"/>
    <w:rsid w:val="005552E7"/>
    <w:rsid w:val="005561AB"/>
    <w:rsid w:val="0055785A"/>
    <w:rsid w:val="00557D25"/>
    <w:rsid w:val="00560F75"/>
    <w:rsid w:val="0056180E"/>
    <w:rsid w:val="00561DA7"/>
    <w:rsid w:val="005642AD"/>
    <w:rsid w:val="00564EC9"/>
    <w:rsid w:val="00565991"/>
    <w:rsid w:val="00570164"/>
    <w:rsid w:val="0057017A"/>
    <w:rsid w:val="00571000"/>
    <w:rsid w:val="00571A39"/>
    <w:rsid w:val="005751E4"/>
    <w:rsid w:val="00580671"/>
    <w:rsid w:val="00580C1C"/>
    <w:rsid w:val="00581822"/>
    <w:rsid w:val="005833F3"/>
    <w:rsid w:val="00583714"/>
    <w:rsid w:val="00584017"/>
    <w:rsid w:val="00584F3A"/>
    <w:rsid w:val="00584F92"/>
    <w:rsid w:val="00584FD3"/>
    <w:rsid w:val="00585A26"/>
    <w:rsid w:val="00587D12"/>
    <w:rsid w:val="00587EDC"/>
    <w:rsid w:val="00590957"/>
    <w:rsid w:val="00590D85"/>
    <w:rsid w:val="00590E96"/>
    <w:rsid w:val="00592717"/>
    <w:rsid w:val="005928B7"/>
    <w:rsid w:val="00592BCD"/>
    <w:rsid w:val="0059435C"/>
    <w:rsid w:val="00595081"/>
    <w:rsid w:val="00595740"/>
    <w:rsid w:val="00597014"/>
    <w:rsid w:val="005A019D"/>
    <w:rsid w:val="005A0746"/>
    <w:rsid w:val="005A0E64"/>
    <w:rsid w:val="005A227E"/>
    <w:rsid w:val="005A311B"/>
    <w:rsid w:val="005A34F1"/>
    <w:rsid w:val="005A6835"/>
    <w:rsid w:val="005A7B3B"/>
    <w:rsid w:val="005B0C8A"/>
    <w:rsid w:val="005B150F"/>
    <w:rsid w:val="005B1648"/>
    <w:rsid w:val="005B1E6C"/>
    <w:rsid w:val="005B2A1C"/>
    <w:rsid w:val="005B4052"/>
    <w:rsid w:val="005B4080"/>
    <w:rsid w:val="005B4E04"/>
    <w:rsid w:val="005B52A7"/>
    <w:rsid w:val="005B5576"/>
    <w:rsid w:val="005B5C4D"/>
    <w:rsid w:val="005B68A2"/>
    <w:rsid w:val="005C0476"/>
    <w:rsid w:val="005C1750"/>
    <w:rsid w:val="005C1F2B"/>
    <w:rsid w:val="005C4368"/>
    <w:rsid w:val="005C540F"/>
    <w:rsid w:val="005C79FB"/>
    <w:rsid w:val="005C7E6A"/>
    <w:rsid w:val="005D061D"/>
    <w:rsid w:val="005D0850"/>
    <w:rsid w:val="005D0C8E"/>
    <w:rsid w:val="005D1E8D"/>
    <w:rsid w:val="005D20F5"/>
    <w:rsid w:val="005D2716"/>
    <w:rsid w:val="005D2A90"/>
    <w:rsid w:val="005D35F1"/>
    <w:rsid w:val="005D35FE"/>
    <w:rsid w:val="005D4996"/>
    <w:rsid w:val="005D4DD7"/>
    <w:rsid w:val="005D4E71"/>
    <w:rsid w:val="005D5109"/>
    <w:rsid w:val="005D582A"/>
    <w:rsid w:val="005D5EF4"/>
    <w:rsid w:val="005D5FE2"/>
    <w:rsid w:val="005D6167"/>
    <w:rsid w:val="005D74F8"/>
    <w:rsid w:val="005E007E"/>
    <w:rsid w:val="005E05C9"/>
    <w:rsid w:val="005E1BAA"/>
    <w:rsid w:val="005E334E"/>
    <w:rsid w:val="005E346E"/>
    <w:rsid w:val="005E469F"/>
    <w:rsid w:val="005E4715"/>
    <w:rsid w:val="005E5389"/>
    <w:rsid w:val="005E5D9D"/>
    <w:rsid w:val="005E7943"/>
    <w:rsid w:val="005F090A"/>
    <w:rsid w:val="005F1035"/>
    <w:rsid w:val="005F1AF9"/>
    <w:rsid w:val="005F2A7C"/>
    <w:rsid w:val="005F2B0A"/>
    <w:rsid w:val="005F318A"/>
    <w:rsid w:val="005F638D"/>
    <w:rsid w:val="005F6EB3"/>
    <w:rsid w:val="0060004C"/>
    <w:rsid w:val="0060322D"/>
    <w:rsid w:val="00603CC7"/>
    <w:rsid w:val="00603DB3"/>
    <w:rsid w:val="00603E1F"/>
    <w:rsid w:val="00604938"/>
    <w:rsid w:val="00605BD8"/>
    <w:rsid w:val="00605C47"/>
    <w:rsid w:val="006061A2"/>
    <w:rsid w:val="00611EDB"/>
    <w:rsid w:val="0061259C"/>
    <w:rsid w:val="00613DAA"/>
    <w:rsid w:val="00613FA0"/>
    <w:rsid w:val="00614FD8"/>
    <w:rsid w:val="006159A8"/>
    <w:rsid w:val="00616D7E"/>
    <w:rsid w:val="00616DBF"/>
    <w:rsid w:val="00617918"/>
    <w:rsid w:val="0061794A"/>
    <w:rsid w:val="00620C61"/>
    <w:rsid w:val="0062162D"/>
    <w:rsid w:val="00621F7E"/>
    <w:rsid w:val="00622338"/>
    <w:rsid w:val="006230E3"/>
    <w:rsid w:val="0062396C"/>
    <w:rsid w:val="0062431A"/>
    <w:rsid w:val="006251D1"/>
    <w:rsid w:val="006272F6"/>
    <w:rsid w:val="0062748E"/>
    <w:rsid w:val="00627E18"/>
    <w:rsid w:val="006302EB"/>
    <w:rsid w:val="0063180B"/>
    <w:rsid w:val="006320EA"/>
    <w:rsid w:val="006329AF"/>
    <w:rsid w:val="00635D16"/>
    <w:rsid w:val="0063629A"/>
    <w:rsid w:val="006370FF"/>
    <w:rsid w:val="00637A96"/>
    <w:rsid w:val="00637B52"/>
    <w:rsid w:val="00640BF8"/>
    <w:rsid w:val="00640EA3"/>
    <w:rsid w:val="00641513"/>
    <w:rsid w:val="0064196D"/>
    <w:rsid w:val="00642111"/>
    <w:rsid w:val="0064294F"/>
    <w:rsid w:val="00642DFD"/>
    <w:rsid w:val="0064491D"/>
    <w:rsid w:val="00645162"/>
    <w:rsid w:val="0064542F"/>
    <w:rsid w:val="006468B1"/>
    <w:rsid w:val="00647294"/>
    <w:rsid w:val="0064755B"/>
    <w:rsid w:val="00651F5A"/>
    <w:rsid w:val="0065276E"/>
    <w:rsid w:val="006549B9"/>
    <w:rsid w:val="00655BF5"/>
    <w:rsid w:val="00657335"/>
    <w:rsid w:val="00657646"/>
    <w:rsid w:val="0065785D"/>
    <w:rsid w:val="00661529"/>
    <w:rsid w:val="00662B5E"/>
    <w:rsid w:val="00663FFE"/>
    <w:rsid w:val="00664D00"/>
    <w:rsid w:val="00664E9A"/>
    <w:rsid w:val="006651C1"/>
    <w:rsid w:val="00666008"/>
    <w:rsid w:val="00666527"/>
    <w:rsid w:val="006668FD"/>
    <w:rsid w:val="00666B81"/>
    <w:rsid w:val="00667001"/>
    <w:rsid w:val="006674CF"/>
    <w:rsid w:val="00672E4C"/>
    <w:rsid w:val="00673800"/>
    <w:rsid w:val="00675D25"/>
    <w:rsid w:val="006767CA"/>
    <w:rsid w:val="006769D8"/>
    <w:rsid w:val="00676DD3"/>
    <w:rsid w:val="00676ECF"/>
    <w:rsid w:val="00676FE1"/>
    <w:rsid w:val="00680121"/>
    <w:rsid w:val="00680707"/>
    <w:rsid w:val="00680A03"/>
    <w:rsid w:val="00681CD0"/>
    <w:rsid w:val="00682AA7"/>
    <w:rsid w:val="00682D70"/>
    <w:rsid w:val="0068360B"/>
    <w:rsid w:val="00683D33"/>
    <w:rsid w:val="006842AE"/>
    <w:rsid w:val="00685ED9"/>
    <w:rsid w:val="006865BD"/>
    <w:rsid w:val="00687003"/>
    <w:rsid w:val="006870AD"/>
    <w:rsid w:val="0068738C"/>
    <w:rsid w:val="006873DA"/>
    <w:rsid w:val="006915B6"/>
    <w:rsid w:val="00691702"/>
    <w:rsid w:val="006926EC"/>
    <w:rsid w:val="00692B35"/>
    <w:rsid w:val="00693419"/>
    <w:rsid w:val="006943AF"/>
    <w:rsid w:val="0069477B"/>
    <w:rsid w:val="006A067B"/>
    <w:rsid w:val="006A11D8"/>
    <w:rsid w:val="006A15ED"/>
    <w:rsid w:val="006A2191"/>
    <w:rsid w:val="006A26E7"/>
    <w:rsid w:val="006A4280"/>
    <w:rsid w:val="006A5CB4"/>
    <w:rsid w:val="006A649E"/>
    <w:rsid w:val="006A6602"/>
    <w:rsid w:val="006A739B"/>
    <w:rsid w:val="006A7542"/>
    <w:rsid w:val="006A76AE"/>
    <w:rsid w:val="006B02C5"/>
    <w:rsid w:val="006B0D51"/>
    <w:rsid w:val="006B0F95"/>
    <w:rsid w:val="006B120A"/>
    <w:rsid w:val="006B180A"/>
    <w:rsid w:val="006B21E3"/>
    <w:rsid w:val="006B267A"/>
    <w:rsid w:val="006B26C4"/>
    <w:rsid w:val="006B2C81"/>
    <w:rsid w:val="006B3224"/>
    <w:rsid w:val="006B5913"/>
    <w:rsid w:val="006B631C"/>
    <w:rsid w:val="006B744C"/>
    <w:rsid w:val="006B7479"/>
    <w:rsid w:val="006C2CF0"/>
    <w:rsid w:val="006C2D59"/>
    <w:rsid w:val="006C44E6"/>
    <w:rsid w:val="006C5388"/>
    <w:rsid w:val="006C5A1F"/>
    <w:rsid w:val="006D2148"/>
    <w:rsid w:val="006D49CE"/>
    <w:rsid w:val="006D5094"/>
    <w:rsid w:val="006D5FCF"/>
    <w:rsid w:val="006D7160"/>
    <w:rsid w:val="006D7805"/>
    <w:rsid w:val="006D7D34"/>
    <w:rsid w:val="006E022D"/>
    <w:rsid w:val="006E02E8"/>
    <w:rsid w:val="006E03DE"/>
    <w:rsid w:val="006E1B56"/>
    <w:rsid w:val="006E34CB"/>
    <w:rsid w:val="006E3772"/>
    <w:rsid w:val="006E379E"/>
    <w:rsid w:val="006E37A9"/>
    <w:rsid w:val="006E393E"/>
    <w:rsid w:val="006E4447"/>
    <w:rsid w:val="006E469E"/>
    <w:rsid w:val="006E5351"/>
    <w:rsid w:val="006E7153"/>
    <w:rsid w:val="006E7D4E"/>
    <w:rsid w:val="006F1B4B"/>
    <w:rsid w:val="006F236B"/>
    <w:rsid w:val="006F2421"/>
    <w:rsid w:val="006F257A"/>
    <w:rsid w:val="006F2E2A"/>
    <w:rsid w:val="006F3114"/>
    <w:rsid w:val="006F3415"/>
    <w:rsid w:val="006F3E1B"/>
    <w:rsid w:val="006F4FA1"/>
    <w:rsid w:val="006F6260"/>
    <w:rsid w:val="006F6BDD"/>
    <w:rsid w:val="006F6BF8"/>
    <w:rsid w:val="00700331"/>
    <w:rsid w:val="007011AE"/>
    <w:rsid w:val="007012B4"/>
    <w:rsid w:val="007046DC"/>
    <w:rsid w:val="00705086"/>
    <w:rsid w:val="00705260"/>
    <w:rsid w:val="00706026"/>
    <w:rsid w:val="007064B3"/>
    <w:rsid w:val="007066DD"/>
    <w:rsid w:val="007115AC"/>
    <w:rsid w:val="00711BC4"/>
    <w:rsid w:val="00712499"/>
    <w:rsid w:val="00712C81"/>
    <w:rsid w:val="00713BCF"/>
    <w:rsid w:val="00716903"/>
    <w:rsid w:val="00716AEB"/>
    <w:rsid w:val="00720A77"/>
    <w:rsid w:val="007212A1"/>
    <w:rsid w:val="00721BAA"/>
    <w:rsid w:val="00721FD2"/>
    <w:rsid w:val="00722680"/>
    <w:rsid w:val="00725C92"/>
    <w:rsid w:val="00726201"/>
    <w:rsid w:val="00726260"/>
    <w:rsid w:val="00726A23"/>
    <w:rsid w:val="00726A80"/>
    <w:rsid w:val="007272AA"/>
    <w:rsid w:val="00727475"/>
    <w:rsid w:val="007305B5"/>
    <w:rsid w:val="007322B4"/>
    <w:rsid w:val="00733665"/>
    <w:rsid w:val="007342FC"/>
    <w:rsid w:val="00734FCF"/>
    <w:rsid w:val="00736025"/>
    <w:rsid w:val="00736B55"/>
    <w:rsid w:val="007403FF"/>
    <w:rsid w:val="00741459"/>
    <w:rsid w:val="00741D16"/>
    <w:rsid w:val="00742686"/>
    <w:rsid w:val="00742910"/>
    <w:rsid w:val="00742E05"/>
    <w:rsid w:val="0074300F"/>
    <w:rsid w:val="007435F0"/>
    <w:rsid w:val="007435FD"/>
    <w:rsid w:val="0074508F"/>
    <w:rsid w:val="0075001F"/>
    <w:rsid w:val="00750038"/>
    <w:rsid w:val="00750FC5"/>
    <w:rsid w:val="00751146"/>
    <w:rsid w:val="0075136E"/>
    <w:rsid w:val="0075205E"/>
    <w:rsid w:val="00752860"/>
    <w:rsid w:val="007538B6"/>
    <w:rsid w:val="0075509F"/>
    <w:rsid w:val="00755CA3"/>
    <w:rsid w:val="007565A5"/>
    <w:rsid w:val="00757378"/>
    <w:rsid w:val="00757B83"/>
    <w:rsid w:val="00757E70"/>
    <w:rsid w:val="007610E5"/>
    <w:rsid w:val="00761441"/>
    <w:rsid w:val="0076397A"/>
    <w:rsid w:val="0076476B"/>
    <w:rsid w:val="0076650F"/>
    <w:rsid w:val="00767784"/>
    <w:rsid w:val="00767B8F"/>
    <w:rsid w:val="00772047"/>
    <w:rsid w:val="007721F3"/>
    <w:rsid w:val="00772BA4"/>
    <w:rsid w:val="0077488F"/>
    <w:rsid w:val="0077498F"/>
    <w:rsid w:val="007755A0"/>
    <w:rsid w:val="007761AF"/>
    <w:rsid w:val="00777029"/>
    <w:rsid w:val="00777567"/>
    <w:rsid w:val="00777F6C"/>
    <w:rsid w:val="0078137D"/>
    <w:rsid w:val="0078167F"/>
    <w:rsid w:val="00783740"/>
    <w:rsid w:val="00784373"/>
    <w:rsid w:val="007852B3"/>
    <w:rsid w:val="0078642D"/>
    <w:rsid w:val="00787598"/>
    <w:rsid w:val="00787DDB"/>
    <w:rsid w:val="0079069E"/>
    <w:rsid w:val="007906DF"/>
    <w:rsid w:val="0079118E"/>
    <w:rsid w:val="00791D6B"/>
    <w:rsid w:val="00792023"/>
    <w:rsid w:val="00792212"/>
    <w:rsid w:val="007931B4"/>
    <w:rsid w:val="00795D37"/>
    <w:rsid w:val="00797741"/>
    <w:rsid w:val="00797B35"/>
    <w:rsid w:val="007A0B64"/>
    <w:rsid w:val="007A223A"/>
    <w:rsid w:val="007A279D"/>
    <w:rsid w:val="007A38CE"/>
    <w:rsid w:val="007A52BE"/>
    <w:rsid w:val="007A5639"/>
    <w:rsid w:val="007A575A"/>
    <w:rsid w:val="007A5820"/>
    <w:rsid w:val="007A6506"/>
    <w:rsid w:val="007A6A08"/>
    <w:rsid w:val="007A6A4F"/>
    <w:rsid w:val="007A7291"/>
    <w:rsid w:val="007B1195"/>
    <w:rsid w:val="007B1DC1"/>
    <w:rsid w:val="007B47E4"/>
    <w:rsid w:val="007B482B"/>
    <w:rsid w:val="007B59AD"/>
    <w:rsid w:val="007B727C"/>
    <w:rsid w:val="007C0D98"/>
    <w:rsid w:val="007C18D7"/>
    <w:rsid w:val="007C266B"/>
    <w:rsid w:val="007C33C0"/>
    <w:rsid w:val="007D31FB"/>
    <w:rsid w:val="007D471D"/>
    <w:rsid w:val="007D521A"/>
    <w:rsid w:val="007D6040"/>
    <w:rsid w:val="007D6F4E"/>
    <w:rsid w:val="007E2F44"/>
    <w:rsid w:val="007E3258"/>
    <w:rsid w:val="007E5AB6"/>
    <w:rsid w:val="007E5C03"/>
    <w:rsid w:val="007E64C7"/>
    <w:rsid w:val="007E6ACF"/>
    <w:rsid w:val="007E6EBF"/>
    <w:rsid w:val="007F039F"/>
    <w:rsid w:val="007F0963"/>
    <w:rsid w:val="007F0F9D"/>
    <w:rsid w:val="007F15A7"/>
    <w:rsid w:val="007F27C0"/>
    <w:rsid w:val="007F3831"/>
    <w:rsid w:val="007F5BA9"/>
    <w:rsid w:val="007F7D89"/>
    <w:rsid w:val="00800241"/>
    <w:rsid w:val="00800E2B"/>
    <w:rsid w:val="00801511"/>
    <w:rsid w:val="0080183D"/>
    <w:rsid w:val="008018CD"/>
    <w:rsid w:val="008019AC"/>
    <w:rsid w:val="008024E7"/>
    <w:rsid w:val="00802ED5"/>
    <w:rsid w:val="00803182"/>
    <w:rsid w:val="00805B3A"/>
    <w:rsid w:val="00805C4B"/>
    <w:rsid w:val="00807440"/>
    <w:rsid w:val="0081226A"/>
    <w:rsid w:val="00812346"/>
    <w:rsid w:val="00812F0A"/>
    <w:rsid w:val="00812FD5"/>
    <w:rsid w:val="00813059"/>
    <w:rsid w:val="00814490"/>
    <w:rsid w:val="00814792"/>
    <w:rsid w:val="00815413"/>
    <w:rsid w:val="00815BBC"/>
    <w:rsid w:val="0081693B"/>
    <w:rsid w:val="00816BF9"/>
    <w:rsid w:val="00817029"/>
    <w:rsid w:val="008177FB"/>
    <w:rsid w:val="0082039B"/>
    <w:rsid w:val="008219F0"/>
    <w:rsid w:val="0082247D"/>
    <w:rsid w:val="008240CD"/>
    <w:rsid w:val="008247D5"/>
    <w:rsid w:val="00825109"/>
    <w:rsid w:val="00825444"/>
    <w:rsid w:val="00826444"/>
    <w:rsid w:val="0082663A"/>
    <w:rsid w:val="00826C7D"/>
    <w:rsid w:val="00826CC0"/>
    <w:rsid w:val="00827393"/>
    <w:rsid w:val="00827A0C"/>
    <w:rsid w:val="008302BB"/>
    <w:rsid w:val="008306F3"/>
    <w:rsid w:val="0083074C"/>
    <w:rsid w:val="00830E2A"/>
    <w:rsid w:val="00834002"/>
    <w:rsid w:val="00834886"/>
    <w:rsid w:val="00834C16"/>
    <w:rsid w:val="008356D3"/>
    <w:rsid w:val="008362DB"/>
    <w:rsid w:val="0083633B"/>
    <w:rsid w:val="00836F1E"/>
    <w:rsid w:val="0083781B"/>
    <w:rsid w:val="00840AB3"/>
    <w:rsid w:val="008410DB"/>
    <w:rsid w:val="00841968"/>
    <w:rsid w:val="00841E85"/>
    <w:rsid w:val="00842426"/>
    <w:rsid w:val="00842C84"/>
    <w:rsid w:val="00843EA1"/>
    <w:rsid w:val="00844405"/>
    <w:rsid w:val="00844823"/>
    <w:rsid w:val="00845C2D"/>
    <w:rsid w:val="00846D11"/>
    <w:rsid w:val="008476DF"/>
    <w:rsid w:val="0085024B"/>
    <w:rsid w:val="00850B87"/>
    <w:rsid w:val="008512B1"/>
    <w:rsid w:val="00853F65"/>
    <w:rsid w:val="008545B0"/>
    <w:rsid w:val="00854713"/>
    <w:rsid w:val="008552C3"/>
    <w:rsid w:val="00856B8F"/>
    <w:rsid w:val="00857411"/>
    <w:rsid w:val="0085788A"/>
    <w:rsid w:val="00860DA6"/>
    <w:rsid w:val="00860E97"/>
    <w:rsid w:val="00860EDC"/>
    <w:rsid w:val="00861936"/>
    <w:rsid w:val="00861CFB"/>
    <w:rsid w:val="00862A65"/>
    <w:rsid w:val="00862AB1"/>
    <w:rsid w:val="00864676"/>
    <w:rsid w:val="00865152"/>
    <w:rsid w:val="008658F9"/>
    <w:rsid w:val="008668A3"/>
    <w:rsid w:val="00866F48"/>
    <w:rsid w:val="0087160F"/>
    <w:rsid w:val="0087175B"/>
    <w:rsid w:val="00871DDD"/>
    <w:rsid w:val="00871E87"/>
    <w:rsid w:val="0087288B"/>
    <w:rsid w:val="00872F73"/>
    <w:rsid w:val="008746AF"/>
    <w:rsid w:val="0087520C"/>
    <w:rsid w:val="00875E11"/>
    <w:rsid w:val="00876A31"/>
    <w:rsid w:val="00880F88"/>
    <w:rsid w:val="00881B90"/>
    <w:rsid w:val="00881CEC"/>
    <w:rsid w:val="00882D04"/>
    <w:rsid w:val="00884A12"/>
    <w:rsid w:val="00885506"/>
    <w:rsid w:val="00885537"/>
    <w:rsid w:val="008855D6"/>
    <w:rsid w:val="008857F1"/>
    <w:rsid w:val="0088654A"/>
    <w:rsid w:val="00886A91"/>
    <w:rsid w:val="00887150"/>
    <w:rsid w:val="00887343"/>
    <w:rsid w:val="008874C4"/>
    <w:rsid w:val="00887D53"/>
    <w:rsid w:val="00891EC7"/>
    <w:rsid w:val="00892327"/>
    <w:rsid w:val="00893A1D"/>
    <w:rsid w:val="008942B7"/>
    <w:rsid w:val="00894CC3"/>
    <w:rsid w:val="00897B12"/>
    <w:rsid w:val="008A1FC2"/>
    <w:rsid w:val="008A2AF8"/>
    <w:rsid w:val="008A331D"/>
    <w:rsid w:val="008A3AF4"/>
    <w:rsid w:val="008A51D3"/>
    <w:rsid w:val="008A651E"/>
    <w:rsid w:val="008A6FF5"/>
    <w:rsid w:val="008A7073"/>
    <w:rsid w:val="008A716A"/>
    <w:rsid w:val="008A7DBA"/>
    <w:rsid w:val="008B146B"/>
    <w:rsid w:val="008B20F2"/>
    <w:rsid w:val="008B3795"/>
    <w:rsid w:val="008B3B6B"/>
    <w:rsid w:val="008B3E2A"/>
    <w:rsid w:val="008B56F9"/>
    <w:rsid w:val="008B6D01"/>
    <w:rsid w:val="008C028C"/>
    <w:rsid w:val="008C0775"/>
    <w:rsid w:val="008C07C7"/>
    <w:rsid w:val="008C1239"/>
    <w:rsid w:val="008C1240"/>
    <w:rsid w:val="008C237E"/>
    <w:rsid w:val="008C2B8E"/>
    <w:rsid w:val="008C3010"/>
    <w:rsid w:val="008C3306"/>
    <w:rsid w:val="008C3AA5"/>
    <w:rsid w:val="008C5724"/>
    <w:rsid w:val="008C5D64"/>
    <w:rsid w:val="008C5E8A"/>
    <w:rsid w:val="008D0359"/>
    <w:rsid w:val="008D0800"/>
    <w:rsid w:val="008D41DF"/>
    <w:rsid w:val="008D4737"/>
    <w:rsid w:val="008D49BC"/>
    <w:rsid w:val="008D4AE9"/>
    <w:rsid w:val="008D5240"/>
    <w:rsid w:val="008D5CA7"/>
    <w:rsid w:val="008D5D71"/>
    <w:rsid w:val="008D5FFA"/>
    <w:rsid w:val="008D6039"/>
    <w:rsid w:val="008D65B1"/>
    <w:rsid w:val="008D6853"/>
    <w:rsid w:val="008D7166"/>
    <w:rsid w:val="008E0EDD"/>
    <w:rsid w:val="008E22AA"/>
    <w:rsid w:val="008E27BE"/>
    <w:rsid w:val="008E2B33"/>
    <w:rsid w:val="008E44E4"/>
    <w:rsid w:val="008E4FCB"/>
    <w:rsid w:val="008E67D5"/>
    <w:rsid w:val="008E731B"/>
    <w:rsid w:val="008E74AC"/>
    <w:rsid w:val="008E79C1"/>
    <w:rsid w:val="008F2025"/>
    <w:rsid w:val="008F2915"/>
    <w:rsid w:val="008F34A6"/>
    <w:rsid w:val="008F46ED"/>
    <w:rsid w:val="008F5429"/>
    <w:rsid w:val="008F595B"/>
    <w:rsid w:val="008F5CC5"/>
    <w:rsid w:val="008F60EE"/>
    <w:rsid w:val="008F6506"/>
    <w:rsid w:val="008F73C5"/>
    <w:rsid w:val="009000B6"/>
    <w:rsid w:val="009002F2"/>
    <w:rsid w:val="00901484"/>
    <w:rsid w:val="00901754"/>
    <w:rsid w:val="0090434E"/>
    <w:rsid w:val="009056DF"/>
    <w:rsid w:val="0090607E"/>
    <w:rsid w:val="009064A9"/>
    <w:rsid w:val="009069BB"/>
    <w:rsid w:val="00907092"/>
    <w:rsid w:val="00907F0B"/>
    <w:rsid w:val="00910145"/>
    <w:rsid w:val="00912D2E"/>
    <w:rsid w:val="00912FEE"/>
    <w:rsid w:val="0091392B"/>
    <w:rsid w:val="00913C45"/>
    <w:rsid w:val="0091529C"/>
    <w:rsid w:val="00921BE5"/>
    <w:rsid w:val="00922393"/>
    <w:rsid w:val="00923A31"/>
    <w:rsid w:val="00923CF5"/>
    <w:rsid w:val="00926B2F"/>
    <w:rsid w:val="00927D22"/>
    <w:rsid w:val="00930FDA"/>
    <w:rsid w:val="00932732"/>
    <w:rsid w:val="00933690"/>
    <w:rsid w:val="00933EE2"/>
    <w:rsid w:val="00934687"/>
    <w:rsid w:val="0093493E"/>
    <w:rsid w:val="00934F02"/>
    <w:rsid w:val="0093504D"/>
    <w:rsid w:val="00935FF0"/>
    <w:rsid w:val="009360F1"/>
    <w:rsid w:val="00937E10"/>
    <w:rsid w:val="00940468"/>
    <w:rsid w:val="009405E7"/>
    <w:rsid w:val="00941F18"/>
    <w:rsid w:val="00941F84"/>
    <w:rsid w:val="00942759"/>
    <w:rsid w:val="00943D49"/>
    <w:rsid w:val="00944C2B"/>
    <w:rsid w:val="00944E3C"/>
    <w:rsid w:val="00945999"/>
    <w:rsid w:val="0094696B"/>
    <w:rsid w:val="00947A1A"/>
    <w:rsid w:val="00947FE4"/>
    <w:rsid w:val="00953BED"/>
    <w:rsid w:val="00954399"/>
    <w:rsid w:val="00954982"/>
    <w:rsid w:val="00954E8F"/>
    <w:rsid w:val="0095634B"/>
    <w:rsid w:val="009569A4"/>
    <w:rsid w:val="0095708D"/>
    <w:rsid w:val="00961EB9"/>
    <w:rsid w:val="00961FEC"/>
    <w:rsid w:val="009622E4"/>
    <w:rsid w:val="00963947"/>
    <w:rsid w:val="00963F1B"/>
    <w:rsid w:val="009646B9"/>
    <w:rsid w:val="00964F44"/>
    <w:rsid w:val="00965D64"/>
    <w:rsid w:val="0096671B"/>
    <w:rsid w:val="00967095"/>
    <w:rsid w:val="009676F0"/>
    <w:rsid w:val="00970682"/>
    <w:rsid w:val="00970FC5"/>
    <w:rsid w:val="00972BC8"/>
    <w:rsid w:val="009731DC"/>
    <w:rsid w:val="00973CF7"/>
    <w:rsid w:val="0097519B"/>
    <w:rsid w:val="009753C6"/>
    <w:rsid w:val="00975CB1"/>
    <w:rsid w:val="00975F10"/>
    <w:rsid w:val="009765AA"/>
    <w:rsid w:val="00976ADE"/>
    <w:rsid w:val="00980D2D"/>
    <w:rsid w:val="00980DE4"/>
    <w:rsid w:val="009824E1"/>
    <w:rsid w:val="00982A64"/>
    <w:rsid w:val="00982E9E"/>
    <w:rsid w:val="00985F7E"/>
    <w:rsid w:val="00986984"/>
    <w:rsid w:val="00986BFC"/>
    <w:rsid w:val="00986DF9"/>
    <w:rsid w:val="00987AFA"/>
    <w:rsid w:val="00987FDC"/>
    <w:rsid w:val="009904A4"/>
    <w:rsid w:val="00992C1B"/>
    <w:rsid w:val="00992D53"/>
    <w:rsid w:val="00993FAA"/>
    <w:rsid w:val="0099419D"/>
    <w:rsid w:val="00994721"/>
    <w:rsid w:val="00994F79"/>
    <w:rsid w:val="00995660"/>
    <w:rsid w:val="0099596F"/>
    <w:rsid w:val="0099731C"/>
    <w:rsid w:val="009A3861"/>
    <w:rsid w:val="009A397F"/>
    <w:rsid w:val="009A3B1B"/>
    <w:rsid w:val="009A4CFB"/>
    <w:rsid w:val="009A6189"/>
    <w:rsid w:val="009A6F20"/>
    <w:rsid w:val="009A6F4A"/>
    <w:rsid w:val="009A707A"/>
    <w:rsid w:val="009A744E"/>
    <w:rsid w:val="009A7AF1"/>
    <w:rsid w:val="009B04B3"/>
    <w:rsid w:val="009B09FE"/>
    <w:rsid w:val="009B149D"/>
    <w:rsid w:val="009B1EF7"/>
    <w:rsid w:val="009B2067"/>
    <w:rsid w:val="009B2161"/>
    <w:rsid w:val="009B2B22"/>
    <w:rsid w:val="009B35A8"/>
    <w:rsid w:val="009B3E45"/>
    <w:rsid w:val="009B43C8"/>
    <w:rsid w:val="009B57FC"/>
    <w:rsid w:val="009B6BAA"/>
    <w:rsid w:val="009B703E"/>
    <w:rsid w:val="009B76B3"/>
    <w:rsid w:val="009B7ADC"/>
    <w:rsid w:val="009C01A1"/>
    <w:rsid w:val="009C16F6"/>
    <w:rsid w:val="009C3A8D"/>
    <w:rsid w:val="009C43CE"/>
    <w:rsid w:val="009C47C5"/>
    <w:rsid w:val="009C5060"/>
    <w:rsid w:val="009C548D"/>
    <w:rsid w:val="009C5974"/>
    <w:rsid w:val="009C5B40"/>
    <w:rsid w:val="009C7E32"/>
    <w:rsid w:val="009D1153"/>
    <w:rsid w:val="009D231A"/>
    <w:rsid w:val="009D6130"/>
    <w:rsid w:val="009D660D"/>
    <w:rsid w:val="009E09D8"/>
    <w:rsid w:val="009E1E16"/>
    <w:rsid w:val="009E219F"/>
    <w:rsid w:val="009E2CDA"/>
    <w:rsid w:val="009E46F7"/>
    <w:rsid w:val="009E4C34"/>
    <w:rsid w:val="009E681D"/>
    <w:rsid w:val="009E79F8"/>
    <w:rsid w:val="009F08D7"/>
    <w:rsid w:val="009F0D7D"/>
    <w:rsid w:val="009F2C67"/>
    <w:rsid w:val="009F3411"/>
    <w:rsid w:val="009F3E1C"/>
    <w:rsid w:val="009F4BE3"/>
    <w:rsid w:val="009F5E37"/>
    <w:rsid w:val="009F62AE"/>
    <w:rsid w:val="009F67BD"/>
    <w:rsid w:val="009F680A"/>
    <w:rsid w:val="009F741B"/>
    <w:rsid w:val="009F74EE"/>
    <w:rsid w:val="009F7E35"/>
    <w:rsid w:val="00A01010"/>
    <w:rsid w:val="00A02382"/>
    <w:rsid w:val="00A03A77"/>
    <w:rsid w:val="00A0515E"/>
    <w:rsid w:val="00A0516C"/>
    <w:rsid w:val="00A06230"/>
    <w:rsid w:val="00A07228"/>
    <w:rsid w:val="00A11169"/>
    <w:rsid w:val="00A12879"/>
    <w:rsid w:val="00A128F0"/>
    <w:rsid w:val="00A1310C"/>
    <w:rsid w:val="00A13A44"/>
    <w:rsid w:val="00A13C97"/>
    <w:rsid w:val="00A13E21"/>
    <w:rsid w:val="00A14624"/>
    <w:rsid w:val="00A146D4"/>
    <w:rsid w:val="00A14FC0"/>
    <w:rsid w:val="00A1583E"/>
    <w:rsid w:val="00A1623E"/>
    <w:rsid w:val="00A16950"/>
    <w:rsid w:val="00A169FA"/>
    <w:rsid w:val="00A16AB9"/>
    <w:rsid w:val="00A2067A"/>
    <w:rsid w:val="00A21783"/>
    <w:rsid w:val="00A21AEE"/>
    <w:rsid w:val="00A21C9C"/>
    <w:rsid w:val="00A22DBC"/>
    <w:rsid w:val="00A25AB3"/>
    <w:rsid w:val="00A27586"/>
    <w:rsid w:val="00A3186A"/>
    <w:rsid w:val="00A318EB"/>
    <w:rsid w:val="00A31DC0"/>
    <w:rsid w:val="00A33B33"/>
    <w:rsid w:val="00A34716"/>
    <w:rsid w:val="00A359C9"/>
    <w:rsid w:val="00A37018"/>
    <w:rsid w:val="00A370CD"/>
    <w:rsid w:val="00A3743A"/>
    <w:rsid w:val="00A423B6"/>
    <w:rsid w:val="00A42762"/>
    <w:rsid w:val="00A42832"/>
    <w:rsid w:val="00A43039"/>
    <w:rsid w:val="00A43FB6"/>
    <w:rsid w:val="00A44276"/>
    <w:rsid w:val="00A4496F"/>
    <w:rsid w:val="00A4676A"/>
    <w:rsid w:val="00A4714B"/>
    <w:rsid w:val="00A47BEA"/>
    <w:rsid w:val="00A50BA4"/>
    <w:rsid w:val="00A51B30"/>
    <w:rsid w:val="00A526A9"/>
    <w:rsid w:val="00A53425"/>
    <w:rsid w:val="00A53D87"/>
    <w:rsid w:val="00A53DB5"/>
    <w:rsid w:val="00A5453E"/>
    <w:rsid w:val="00A54736"/>
    <w:rsid w:val="00A54B0D"/>
    <w:rsid w:val="00A552AC"/>
    <w:rsid w:val="00A55BAC"/>
    <w:rsid w:val="00A560F3"/>
    <w:rsid w:val="00A56A63"/>
    <w:rsid w:val="00A56BE8"/>
    <w:rsid w:val="00A577DB"/>
    <w:rsid w:val="00A5786E"/>
    <w:rsid w:val="00A6114B"/>
    <w:rsid w:val="00A61228"/>
    <w:rsid w:val="00A61574"/>
    <w:rsid w:val="00A63C57"/>
    <w:rsid w:val="00A64BD4"/>
    <w:rsid w:val="00A655A3"/>
    <w:rsid w:val="00A65B77"/>
    <w:rsid w:val="00A65FD4"/>
    <w:rsid w:val="00A6681A"/>
    <w:rsid w:val="00A679F4"/>
    <w:rsid w:val="00A7199A"/>
    <w:rsid w:val="00A71A2C"/>
    <w:rsid w:val="00A71AC8"/>
    <w:rsid w:val="00A73686"/>
    <w:rsid w:val="00A737E4"/>
    <w:rsid w:val="00A73C6E"/>
    <w:rsid w:val="00A73E6A"/>
    <w:rsid w:val="00A73E7F"/>
    <w:rsid w:val="00A74ED4"/>
    <w:rsid w:val="00A757BC"/>
    <w:rsid w:val="00A7630D"/>
    <w:rsid w:val="00A806FC"/>
    <w:rsid w:val="00A80E02"/>
    <w:rsid w:val="00A810DD"/>
    <w:rsid w:val="00A8117F"/>
    <w:rsid w:val="00A8179A"/>
    <w:rsid w:val="00A8189E"/>
    <w:rsid w:val="00A82442"/>
    <w:rsid w:val="00A83058"/>
    <w:rsid w:val="00A83E0F"/>
    <w:rsid w:val="00A85FE3"/>
    <w:rsid w:val="00A86ACB"/>
    <w:rsid w:val="00A86F52"/>
    <w:rsid w:val="00A8787A"/>
    <w:rsid w:val="00A90834"/>
    <w:rsid w:val="00A912AA"/>
    <w:rsid w:val="00A91FD3"/>
    <w:rsid w:val="00A92456"/>
    <w:rsid w:val="00A932B1"/>
    <w:rsid w:val="00A93572"/>
    <w:rsid w:val="00A93743"/>
    <w:rsid w:val="00A93FE2"/>
    <w:rsid w:val="00A94169"/>
    <w:rsid w:val="00A94341"/>
    <w:rsid w:val="00A943CB"/>
    <w:rsid w:val="00A94584"/>
    <w:rsid w:val="00A945E2"/>
    <w:rsid w:val="00A955FD"/>
    <w:rsid w:val="00A95EC1"/>
    <w:rsid w:val="00A9624F"/>
    <w:rsid w:val="00A97370"/>
    <w:rsid w:val="00A974F7"/>
    <w:rsid w:val="00A978F3"/>
    <w:rsid w:val="00A97F64"/>
    <w:rsid w:val="00AA034A"/>
    <w:rsid w:val="00AA0A92"/>
    <w:rsid w:val="00AA0BD6"/>
    <w:rsid w:val="00AA1C78"/>
    <w:rsid w:val="00AA3193"/>
    <w:rsid w:val="00AA4400"/>
    <w:rsid w:val="00AA4480"/>
    <w:rsid w:val="00AA47D8"/>
    <w:rsid w:val="00AA48BE"/>
    <w:rsid w:val="00AA5078"/>
    <w:rsid w:val="00AA546B"/>
    <w:rsid w:val="00AA6406"/>
    <w:rsid w:val="00AA65D6"/>
    <w:rsid w:val="00AA6638"/>
    <w:rsid w:val="00AA7354"/>
    <w:rsid w:val="00AA78B0"/>
    <w:rsid w:val="00AA7C29"/>
    <w:rsid w:val="00AB33AC"/>
    <w:rsid w:val="00AB4F96"/>
    <w:rsid w:val="00AB670F"/>
    <w:rsid w:val="00AC01F5"/>
    <w:rsid w:val="00AC2661"/>
    <w:rsid w:val="00AC2A5C"/>
    <w:rsid w:val="00AC4076"/>
    <w:rsid w:val="00AC4115"/>
    <w:rsid w:val="00AC42B1"/>
    <w:rsid w:val="00AC548D"/>
    <w:rsid w:val="00AC58DC"/>
    <w:rsid w:val="00AC76BE"/>
    <w:rsid w:val="00AD0866"/>
    <w:rsid w:val="00AD29B1"/>
    <w:rsid w:val="00AD3271"/>
    <w:rsid w:val="00AD4D49"/>
    <w:rsid w:val="00AD4E99"/>
    <w:rsid w:val="00AD5CB2"/>
    <w:rsid w:val="00AD605E"/>
    <w:rsid w:val="00AD7B03"/>
    <w:rsid w:val="00AE13C4"/>
    <w:rsid w:val="00AE1934"/>
    <w:rsid w:val="00AE222F"/>
    <w:rsid w:val="00AE4252"/>
    <w:rsid w:val="00AE4A4C"/>
    <w:rsid w:val="00AE4EB6"/>
    <w:rsid w:val="00AE51FC"/>
    <w:rsid w:val="00AE66FF"/>
    <w:rsid w:val="00AE67B5"/>
    <w:rsid w:val="00AE7214"/>
    <w:rsid w:val="00AE7ED1"/>
    <w:rsid w:val="00AF14A8"/>
    <w:rsid w:val="00AF1BB5"/>
    <w:rsid w:val="00AF2FF9"/>
    <w:rsid w:val="00AF452D"/>
    <w:rsid w:val="00AF47E7"/>
    <w:rsid w:val="00AF54CB"/>
    <w:rsid w:val="00AF5607"/>
    <w:rsid w:val="00AF628F"/>
    <w:rsid w:val="00AF6C26"/>
    <w:rsid w:val="00AF7711"/>
    <w:rsid w:val="00AF7DDC"/>
    <w:rsid w:val="00B005F0"/>
    <w:rsid w:val="00B021E6"/>
    <w:rsid w:val="00B023C8"/>
    <w:rsid w:val="00B02419"/>
    <w:rsid w:val="00B02721"/>
    <w:rsid w:val="00B028A0"/>
    <w:rsid w:val="00B03880"/>
    <w:rsid w:val="00B03CA4"/>
    <w:rsid w:val="00B05479"/>
    <w:rsid w:val="00B061A0"/>
    <w:rsid w:val="00B06214"/>
    <w:rsid w:val="00B068F6"/>
    <w:rsid w:val="00B12136"/>
    <w:rsid w:val="00B13E1F"/>
    <w:rsid w:val="00B13EEF"/>
    <w:rsid w:val="00B147D5"/>
    <w:rsid w:val="00B1584E"/>
    <w:rsid w:val="00B159EE"/>
    <w:rsid w:val="00B16402"/>
    <w:rsid w:val="00B17431"/>
    <w:rsid w:val="00B17787"/>
    <w:rsid w:val="00B2126E"/>
    <w:rsid w:val="00B21A45"/>
    <w:rsid w:val="00B22387"/>
    <w:rsid w:val="00B259C2"/>
    <w:rsid w:val="00B3196A"/>
    <w:rsid w:val="00B32F9C"/>
    <w:rsid w:val="00B33F03"/>
    <w:rsid w:val="00B352D4"/>
    <w:rsid w:val="00B35D55"/>
    <w:rsid w:val="00B35FA1"/>
    <w:rsid w:val="00B365C4"/>
    <w:rsid w:val="00B37165"/>
    <w:rsid w:val="00B40221"/>
    <w:rsid w:val="00B4027A"/>
    <w:rsid w:val="00B40A44"/>
    <w:rsid w:val="00B40C3E"/>
    <w:rsid w:val="00B40CDE"/>
    <w:rsid w:val="00B411A8"/>
    <w:rsid w:val="00B411B0"/>
    <w:rsid w:val="00B43B6F"/>
    <w:rsid w:val="00B44981"/>
    <w:rsid w:val="00B46063"/>
    <w:rsid w:val="00B46C08"/>
    <w:rsid w:val="00B518A6"/>
    <w:rsid w:val="00B51B15"/>
    <w:rsid w:val="00B524B9"/>
    <w:rsid w:val="00B52AF1"/>
    <w:rsid w:val="00B54A85"/>
    <w:rsid w:val="00B54F4C"/>
    <w:rsid w:val="00B55019"/>
    <w:rsid w:val="00B5539F"/>
    <w:rsid w:val="00B55AF6"/>
    <w:rsid w:val="00B56140"/>
    <w:rsid w:val="00B5704C"/>
    <w:rsid w:val="00B572A8"/>
    <w:rsid w:val="00B60011"/>
    <w:rsid w:val="00B60C92"/>
    <w:rsid w:val="00B61639"/>
    <w:rsid w:val="00B61C94"/>
    <w:rsid w:val="00B61EEC"/>
    <w:rsid w:val="00B622C7"/>
    <w:rsid w:val="00B62B58"/>
    <w:rsid w:val="00B64AF5"/>
    <w:rsid w:val="00B64BCD"/>
    <w:rsid w:val="00B6661D"/>
    <w:rsid w:val="00B666AE"/>
    <w:rsid w:val="00B668AF"/>
    <w:rsid w:val="00B66A8C"/>
    <w:rsid w:val="00B66BBC"/>
    <w:rsid w:val="00B677A1"/>
    <w:rsid w:val="00B67E96"/>
    <w:rsid w:val="00B7102D"/>
    <w:rsid w:val="00B7105C"/>
    <w:rsid w:val="00B742AB"/>
    <w:rsid w:val="00B742D7"/>
    <w:rsid w:val="00B759E8"/>
    <w:rsid w:val="00B81862"/>
    <w:rsid w:val="00B81C57"/>
    <w:rsid w:val="00B82803"/>
    <w:rsid w:val="00B857DC"/>
    <w:rsid w:val="00B8594E"/>
    <w:rsid w:val="00B8743B"/>
    <w:rsid w:val="00B87A6E"/>
    <w:rsid w:val="00B87ED9"/>
    <w:rsid w:val="00B903BD"/>
    <w:rsid w:val="00B90411"/>
    <w:rsid w:val="00B90F43"/>
    <w:rsid w:val="00B912D1"/>
    <w:rsid w:val="00B92512"/>
    <w:rsid w:val="00B93EAF"/>
    <w:rsid w:val="00B941BE"/>
    <w:rsid w:val="00B94590"/>
    <w:rsid w:val="00B9460E"/>
    <w:rsid w:val="00B9481A"/>
    <w:rsid w:val="00B94B99"/>
    <w:rsid w:val="00B958C0"/>
    <w:rsid w:val="00B97814"/>
    <w:rsid w:val="00B97A86"/>
    <w:rsid w:val="00BA13B1"/>
    <w:rsid w:val="00BA2412"/>
    <w:rsid w:val="00BA373B"/>
    <w:rsid w:val="00BA39B6"/>
    <w:rsid w:val="00BA41CE"/>
    <w:rsid w:val="00BA4EE3"/>
    <w:rsid w:val="00BA4F66"/>
    <w:rsid w:val="00BA5B90"/>
    <w:rsid w:val="00BA6B35"/>
    <w:rsid w:val="00BA6D74"/>
    <w:rsid w:val="00BA70CA"/>
    <w:rsid w:val="00BB029A"/>
    <w:rsid w:val="00BB0A8B"/>
    <w:rsid w:val="00BB2021"/>
    <w:rsid w:val="00BB2CD4"/>
    <w:rsid w:val="00BB4671"/>
    <w:rsid w:val="00BB58AA"/>
    <w:rsid w:val="00BB5B7D"/>
    <w:rsid w:val="00BB68D3"/>
    <w:rsid w:val="00BB6948"/>
    <w:rsid w:val="00BB6DCC"/>
    <w:rsid w:val="00BB727B"/>
    <w:rsid w:val="00BB75E6"/>
    <w:rsid w:val="00BC00C7"/>
    <w:rsid w:val="00BC0451"/>
    <w:rsid w:val="00BC1920"/>
    <w:rsid w:val="00BC1992"/>
    <w:rsid w:val="00BC372E"/>
    <w:rsid w:val="00BC5375"/>
    <w:rsid w:val="00BC55D0"/>
    <w:rsid w:val="00BC5775"/>
    <w:rsid w:val="00BC65FE"/>
    <w:rsid w:val="00BC6DE3"/>
    <w:rsid w:val="00BC6FE1"/>
    <w:rsid w:val="00BC7456"/>
    <w:rsid w:val="00BC7AC4"/>
    <w:rsid w:val="00BC7EB7"/>
    <w:rsid w:val="00BD0775"/>
    <w:rsid w:val="00BD1C44"/>
    <w:rsid w:val="00BD24BD"/>
    <w:rsid w:val="00BD390B"/>
    <w:rsid w:val="00BD4310"/>
    <w:rsid w:val="00BD4FBD"/>
    <w:rsid w:val="00BD6897"/>
    <w:rsid w:val="00BD6A24"/>
    <w:rsid w:val="00BD6D70"/>
    <w:rsid w:val="00BE02C2"/>
    <w:rsid w:val="00BE0BE0"/>
    <w:rsid w:val="00BE0E7B"/>
    <w:rsid w:val="00BE2537"/>
    <w:rsid w:val="00BE2E1A"/>
    <w:rsid w:val="00BE5E3C"/>
    <w:rsid w:val="00BE6173"/>
    <w:rsid w:val="00BE66E2"/>
    <w:rsid w:val="00BE750F"/>
    <w:rsid w:val="00BF02A9"/>
    <w:rsid w:val="00BF03F5"/>
    <w:rsid w:val="00BF0D02"/>
    <w:rsid w:val="00BF1FDA"/>
    <w:rsid w:val="00BF24DE"/>
    <w:rsid w:val="00BF2A25"/>
    <w:rsid w:val="00BF2A2D"/>
    <w:rsid w:val="00BF33BF"/>
    <w:rsid w:val="00BF3475"/>
    <w:rsid w:val="00BF387B"/>
    <w:rsid w:val="00BF3B56"/>
    <w:rsid w:val="00BF40F9"/>
    <w:rsid w:val="00BF42DA"/>
    <w:rsid w:val="00BF4B71"/>
    <w:rsid w:val="00BF4E15"/>
    <w:rsid w:val="00BF54FF"/>
    <w:rsid w:val="00BF56F5"/>
    <w:rsid w:val="00BF5954"/>
    <w:rsid w:val="00BF7093"/>
    <w:rsid w:val="00C00212"/>
    <w:rsid w:val="00C015CA"/>
    <w:rsid w:val="00C01A7C"/>
    <w:rsid w:val="00C02724"/>
    <w:rsid w:val="00C02BDC"/>
    <w:rsid w:val="00C032F4"/>
    <w:rsid w:val="00C03B05"/>
    <w:rsid w:val="00C03F62"/>
    <w:rsid w:val="00C04432"/>
    <w:rsid w:val="00C04D8D"/>
    <w:rsid w:val="00C04F47"/>
    <w:rsid w:val="00C05BBC"/>
    <w:rsid w:val="00C05BCB"/>
    <w:rsid w:val="00C060DF"/>
    <w:rsid w:val="00C06859"/>
    <w:rsid w:val="00C071EB"/>
    <w:rsid w:val="00C1033B"/>
    <w:rsid w:val="00C11A87"/>
    <w:rsid w:val="00C124B0"/>
    <w:rsid w:val="00C12B13"/>
    <w:rsid w:val="00C13B37"/>
    <w:rsid w:val="00C14FD1"/>
    <w:rsid w:val="00C16500"/>
    <w:rsid w:val="00C16689"/>
    <w:rsid w:val="00C16AFB"/>
    <w:rsid w:val="00C16FFD"/>
    <w:rsid w:val="00C172C9"/>
    <w:rsid w:val="00C17504"/>
    <w:rsid w:val="00C17E47"/>
    <w:rsid w:val="00C20BDB"/>
    <w:rsid w:val="00C20E99"/>
    <w:rsid w:val="00C21C73"/>
    <w:rsid w:val="00C21EDB"/>
    <w:rsid w:val="00C23471"/>
    <w:rsid w:val="00C23B76"/>
    <w:rsid w:val="00C2461D"/>
    <w:rsid w:val="00C24CDA"/>
    <w:rsid w:val="00C32733"/>
    <w:rsid w:val="00C32967"/>
    <w:rsid w:val="00C32E13"/>
    <w:rsid w:val="00C33923"/>
    <w:rsid w:val="00C33AE7"/>
    <w:rsid w:val="00C37459"/>
    <w:rsid w:val="00C37816"/>
    <w:rsid w:val="00C40086"/>
    <w:rsid w:val="00C400AA"/>
    <w:rsid w:val="00C4157E"/>
    <w:rsid w:val="00C415AC"/>
    <w:rsid w:val="00C41755"/>
    <w:rsid w:val="00C4217B"/>
    <w:rsid w:val="00C4277F"/>
    <w:rsid w:val="00C43217"/>
    <w:rsid w:val="00C438A0"/>
    <w:rsid w:val="00C443FE"/>
    <w:rsid w:val="00C45261"/>
    <w:rsid w:val="00C45939"/>
    <w:rsid w:val="00C46C87"/>
    <w:rsid w:val="00C519A1"/>
    <w:rsid w:val="00C51B3C"/>
    <w:rsid w:val="00C51C07"/>
    <w:rsid w:val="00C52C3F"/>
    <w:rsid w:val="00C548D6"/>
    <w:rsid w:val="00C561C8"/>
    <w:rsid w:val="00C5633B"/>
    <w:rsid w:val="00C569E3"/>
    <w:rsid w:val="00C612E7"/>
    <w:rsid w:val="00C624DB"/>
    <w:rsid w:val="00C62735"/>
    <w:rsid w:val="00C657BA"/>
    <w:rsid w:val="00C6673A"/>
    <w:rsid w:val="00C67199"/>
    <w:rsid w:val="00C70110"/>
    <w:rsid w:val="00C70EBF"/>
    <w:rsid w:val="00C718AE"/>
    <w:rsid w:val="00C720B9"/>
    <w:rsid w:val="00C72521"/>
    <w:rsid w:val="00C733B9"/>
    <w:rsid w:val="00C7403B"/>
    <w:rsid w:val="00C74A51"/>
    <w:rsid w:val="00C75C70"/>
    <w:rsid w:val="00C75FDF"/>
    <w:rsid w:val="00C76035"/>
    <w:rsid w:val="00C7618D"/>
    <w:rsid w:val="00C76C8B"/>
    <w:rsid w:val="00C76D59"/>
    <w:rsid w:val="00C81374"/>
    <w:rsid w:val="00C81F63"/>
    <w:rsid w:val="00C821FA"/>
    <w:rsid w:val="00C82256"/>
    <w:rsid w:val="00C84C3A"/>
    <w:rsid w:val="00C853E2"/>
    <w:rsid w:val="00C85417"/>
    <w:rsid w:val="00C86B59"/>
    <w:rsid w:val="00C8788A"/>
    <w:rsid w:val="00C90084"/>
    <w:rsid w:val="00C900DF"/>
    <w:rsid w:val="00C9231E"/>
    <w:rsid w:val="00C9408C"/>
    <w:rsid w:val="00C949C7"/>
    <w:rsid w:val="00C94F2B"/>
    <w:rsid w:val="00C952D2"/>
    <w:rsid w:val="00C95775"/>
    <w:rsid w:val="00C95BA9"/>
    <w:rsid w:val="00C962D2"/>
    <w:rsid w:val="00C96987"/>
    <w:rsid w:val="00C96C23"/>
    <w:rsid w:val="00C9708A"/>
    <w:rsid w:val="00C972F2"/>
    <w:rsid w:val="00C97EA2"/>
    <w:rsid w:val="00CA0B77"/>
    <w:rsid w:val="00CA3BCC"/>
    <w:rsid w:val="00CA63A1"/>
    <w:rsid w:val="00CA6950"/>
    <w:rsid w:val="00CA6EF1"/>
    <w:rsid w:val="00CA6F93"/>
    <w:rsid w:val="00CB0001"/>
    <w:rsid w:val="00CB0334"/>
    <w:rsid w:val="00CB0641"/>
    <w:rsid w:val="00CB07D4"/>
    <w:rsid w:val="00CB111D"/>
    <w:rsid w:val="00CB18FC"/>
    <w:rsid w:val="00CB3B0F"/>
    <w:rsid w:val="00CB6685"/>
    <w:rsid w:val="00CB7E97"/>
    <w:rsid w:val="00CC0394"/>
    <w:rsid w:val="00CC1BCB"/>
    <w:rsid w:val="00CC2014"/>
    <w:rsid w:val="00CC2D95"/>
    <w:rsid w:val="00CC3523"/>
    <w:rsid w:val="00CC395B"/>
    <w:rsid w:val="00CC514D"/>
    <w:rsid w:val="00CC71EF"/>
    <w:rsid w:val="00CD0A0F"/>
    <w:rsid w:val="00CD2958"/>
    <w:rsid w:val="00CD36A3"/>
    <w:rsid w:val="00CD4081"/>
    <w:rsid w:val="00CD4336"/>
    <w:rsid w:val="00CD43C6"/>
    <w:rsid w:val="00CD440C"/>
    <w:rsid w:val="00CD480A"/>
    <w:rsid w:val="00CD4AE0"/>
    <w:rsid w:val="00CD58A8"/>
    <w:rsid w:val="00CD6D97"/>
    <w:rsid w:val="00CD7173"/>
    <w:rsid w:val="00CE09E6"/>
    <w:rsid w:val="00CE10AE"/>
    <w:rsid w:val="00CE258F"/>
    <w:rsid w:val="00CE4AA8"/>
    <w:rsid w:val="00CE53E9"/>
    <w:rsid w:val="00CE5495"/>
    <w:rsid w:val="00CE5DFC"/>
    <w:rsid w:val="00CE67C5"/>
    <w:rsid w:val="00CE6FFA"/>
    <w:rsid w:val="00CE763B"/>
    <w:rsid w:val="00CF0230"/>
    <w:rsid w:val="00CF0AA9"/>
    <w:rsid w:val="00CF0E0D"/>
    <w:rsid w:val="00CF18D0"/>
    <w:rsid w:val="00CF1CBC"/>
    <w:rsid w:val="00CF574A"/>
    <w:rsid w:val="00CF584C"/>
    <w:rsid w:val="00CF5973"/>
    <w:rsid w:val="00CF5D7B"/>
    <w:rsid w:val="00CF7308"/>
    <w:rsid w:val="00CF734B"/>
    <w:rsid w:val="00CF73E2"/>
    <w:rsid w:val="00CF7E6D"/>
    <w:rsid w:val="00D00C49"/>
    <w:rsid w:val="00D02652"/>
    <w:rsid w:val="00D036C5"/>
    <w:rsid w:val="00D05495"/>
    <w:rsid w:val="00D0603F"/>
    <w:rsid w:val="00D06063"/>
    <w:rsid w:val="00D0645A"/>
    <w:rsid w:val="00D069B4"/>
    <w:rsid w:val="00D10456"/>
    <w:rsid w:val="00D1081C"/>
    <w:rsid w:val="00D12AB1"/>
    <w:rsid w:val="00D12B8E"/>
    <w:rsid w:val="00D12D95"/>
    <w:rsid w:val="00D12FDA"/>
    <w:rsid w:val="00D131F2"/>
    <w:rsid w:val="00D1404E"/>
    <w:rsid w:val="00D162BB"/>
    <w:rsid w:val="00D163FB"/>
    <w:rsid w:val="00D16CD0"/>
    <w:rsid w:val="00D17948"/>
    <w:rsid w:val="00D17E21"/>
    <w:rsid w:val="00D17ED4"/>
    <w:rsid w:val="00D21BEC"/>
    <w:rsid w:val="00D221BA"/>
    <w:rsid w:val="00D24B42"/>
    <w:rsid w:val="00D250F8"/>
    <w:rsid w:val="00D261C1"/>
    <w:rsid w:val="00D26531"/>
    <w:rsid w:val="00D26E37"/>
    <w:rsid w:val="00D271F5"/>
    <w:rsid w:val="00D27C0F"/>
    <w:rsid w:val="00D27F46"/>
    <w:rsid w:val="00D31884"/>
    <w:rsid w:val="00D31D2B"/>
    <w:rsid w:val="00D320F4"/>
    <w:rsid w:val="00D33AB6"/>
    <w:rsid w:val="00D35F6D"/>
    <w:rsid w:val="00D371F8"/>
    <w:rsid w:val="00D3777D"/>
    <w:rsid w:val="00D401F2"/>
    <w:rsid w:val="00D43371"/>
    <w:rsid w:val="00D43DC7"/>
    <w:rsid w:val="00D440AD"/>
    <w:rsid w:val="00D447A5"/>
    <w:rsid w:val="00D45248"/>
    <w:rsid w:val="00D45989"/>
    <w:rsid w:val="00D45FE8"/>
    <w:rsid w:val="00D4724A"/>
    <w:rsid w:val="00D50F76"/>
    <w:rsid w:val="00D52669"/>
    <w:rsid w:val="00D53F15"/>
    <w:rsid w:val="00D53FEE"/>
    <w:rsid w:val="00D544BC"/>
    <w:rsid w:val="00D54E5D"/>
    <w:rsid w:val="00D553C6"/>
    <w:rsid w:val="00D557CD"/>
    <w:rsid w:val="00D55ABA"/>
    <w:rsid w:val="00D56D2A"/>
    <w:rsid w:val="00D57987"/>
    <w:rsid w:val="00D57C22"/>
    <w:rsid w:val="00D6092E"/>
    <w:rsid w:val="00D60CA4"/>
    <w:rsid w:val="00D6431A"/>
    <w:rsid w:val="00D657E9"/>
    <w:rsid w:val="00D65D02"/>
    <w:rsid w:val="00D65FAC"/>
    <w:rsid w:val="00D66002"/>
    <w:rsid w:val="00D66943"/>
    <w:rsid w:val="00D67416"/>
    <w:rsid w:val="00D67DFC"/>
    <w:rsid w:val="00D67F89"/>
    <w:rsid w:val="00D7019A"/>
    <w:rsid w:val="00D70534"/>
    <w:rsid w:val="00D71160"/>
    <w:rsid w:val="00D71626"/>
    <w:rsid w:val="00D72CCF"/>
    <w:rsid w:val="00D74080"/>
    <w:rsid w:val="00D74260"/>
    <w:rsid w:val="00D753A0"/>
    <w:rsid w:val="00D758BB"/>
    <w:rsid w:val="00D758E8"/>
    <w:rsid w:val="00D75FCF"/>
    <w:rsid w:val="00D76B08"/>
    <w:rsid w:val="00D8064B"/>
    <w:rsid w:val="00D83028"/>
    <w:rsid w:val="00D8341C"/>
    <w:rsid w:val="00D84F7A"/>
    <w:rsid w:val="00D850DA"/>
    <w:rsid w:val="00D852C9"/>
    <w:rsid w:val="00D87011"/>
    <w:rsid w:val="00D872C0"/>
    <w:rsid w:val="00D87F15"/>
    <w:rsid w:val="00D923F6"/>
    <w:rsid w:val="00D93663"/>
    <w:rsid w:val="00D93B0F"/>
    <w:rsid w:val="00D9551A"/>
    <w:rsid w:val="00D955F2"/>
    <w:rsid w:val="00D95608"/>
    <w:rsid w:val="00D9739C"/>
    <w:rsid w:val="00D976A6"/>
    <w:rsid w:val="00D97D3F"/>
    <w:rsid w:val="00DA02A2"/>
    <w:rsid w:val="00DA1C7A"/>
    <w:rsid w:val="00DA3524"/>
    <w:rsid w:val="00DA59F0"/>
    <w:rsid w:val="00DA63A5"/>
    <w:rsid w:val="00DB01BF"/>
    <w:rsid w:val="00DB03E7"/>
    <w:rsid w:val="00DB2005"/>
    <w:rsid w:val="00DB2057"/>
    <w:rsid w:val="00DB37CC"/>
    <w:rsid w:val="00DB4B77"/>
    <w:rsid w:val="00DB50D0"/>
    <w:rsid w:val="00DB5EA3"/>
    <w:rsid w:val="00DB6803"/>
    <w:rsid w:val="00DB788B"/>
    <w:rsid w:val="00DB7EEB"/>
    <w:rsid w:val="00DC13E1"/>
    <w:rsid w:val="00DC1420"/>
    <w:rsid w:val="00DC148B"/>
    <w:rsid w:val="00DC18BC"/>
    <w:rsid w:val="00DC23C7"/>
    <w:rsid w:val="00DC2593"/>
    <w:rsid w:val="00DC2EB8"/>
    <w:rsid w:val="00DC30D0"/>
    <w:rsid w:val="00DC409C"/>
    <w:rsid w:val="00DC5772"/>
    <w:rsid w:val="00DC6205"/>
    <w:rsid w:val="00DC68D3"/>
    <w:rsid w:val="00DC68FE"/>
    <w:rsid w:val="00DC6A71"/>
    <w:rsid w:val="00DC7133"/>
    <w:rsid w:val="00DC754C"/>
    <w:rsid w:val="00DD0F01"/>
    <w:rsid w:val="00DD108B"/>
    <w:rsid w:val="00DD18DC"/>
    <w:rsid w:val="00DD3BA8"/>
    <w:rsid w:val="00DD424D"/>
    <w:rsid w:val="00DD44A8"/>
    <w:rsid w:val="00DD505B"/>
    <w:rsid w:val="00DD56D7"/>
    <w:rsid w:val="00DD5A9B"/>
    <w:rsid w:val="00DD748D"/>
    <w:rsid w:val="00DE06A9"/>
    <w:rsid w:val="00DE0838"/>
    <w:rsid w:val="00DE0931"/>
    <w:rsid w:val="00DE17D7"/>
    <w:rsid w:val="00DE2A9A"/>
    <w:rsid w:val="00DE33EA"/>
    <w:rsid w:val="00DE7292"/>
    <w:rsid w:val="00DE77A6"/>
    <w:rsid w:val="00DE79B4"/>
    <w:rsid w:val="00DF005A"/>
    <w:rsid w:val="00DF030A"/>
    <w:rsid w:val="00DF03AE"/>
    <w:rsid w:val="00DF0923"/>
    <w:rsid w:val="00DF1D71"/>
    <w:rsid w:val="00DF2C3B"/>
    <w:rsid w:val="00DF2D87"/>
    <w:rsid w:val="00DF3E06"/>
    <w:rsid w:val="00DF43F0"/>
    <w:rsid w:val="00DF7133"/>
    <w:rsid w:val="00DF725A"/>
    <w:rsid w:val="00DF72CF"/>
    <w:rsid w:val="00E0010A"/>
    <w:rsid w:val="00E0011E"/>
    <w:rsid w:val="00E001EA"/>
    <w:rsid w:val="00E02229"/>
    <w:rsid w:val="00E037AA"/>
    <w:rsid w:val="00E04D3F"/>
    <w:rsid w:val="00E05256"/>
    <w:rsid w:val="00E0662C"/>
    <w:rsid w:val="00E06C63"/>
    <w:rsid w:val="00E10055"/>
    <w:rsid w:val="00E1146E"/>
    <w:rsid w:val="00E135D6"/>
    <w:rsid w:val="00E1534A"/>
    <w:rsid w:val="00E153B5"/>
    <w:rsid w:val="00E15BDB"/>
    <w:rsid w:val="00E1711B"/>
    <w:rsid w:val="00E17DEF"/>
    <w:rsid w:val="00E17FA7"/>
    <w:rsid w:val="00E200AA"/>
    <w:rsid w:val="00E2158C"/>
    <w:rsid w:val="00E22293"/>
    <w:rsid w:val="00E2243B"/>
    <w:rsid w:val="00E23715"/>
    <w:rsid w:val="00E23E31"/>
    <w:rsid w:val="00E24C4B"/>
    <w:rsid w:val="00E251BD"/>
    <w:rsid w:val="00E27474"/>
    <w:rsid w:val="00E30010"/>
    <w:rsid w:val="00E330B2"/>
    <w:rsid w:val="00E33D25"/>
    <w:rsid w:val="00E3433B"/>
    <w:rsid w:val="00E3435E"/>
    <w:rsid w:val="00E34BDD"/>
    <w:rsid w:val="00E36538"/>
    <w:rsid w:val="00E3664D"/>
    <w:rsid w:val="00E367AD"/>
    <w:rsid w:val="00E36C3F"/>
    <w:rsid w:val="00E37CA8"/>
    <w:rsid w:val="00E401CB"/>
    <w:rsid w:val="00E40574"/>
    <w:rsid w:val="00E4137C"/>
    <w:rsid w:val="00E41963"/>
    <w:rsid w:val="00E41A5D"/>
    <w:rsid w:val="00E429AD"/>
    <w:rsid w:val="00E42A0D"/>
    <w:rsid w:val="00E42DD2"/>
    <w:rsid w:val="00E43294"/>
    <w:rsid w:val="00E43A87"/>
    <w:rsid w:val="00E451FC"/>
    <w:rsid w:val="00E45518"/>
    <w:rsid w:val="00E46348"/>
    <w:rsid w:val="00E5097D"/>
    <w:rsid w:val="00E51EEA"/>
    <w:rsid w:val="00E5243F"/>
    <w:rsid w:val="00E52DB5"/>
    <w:rsid w:val="00E5550D"/>
    <w:rsid w:val="00E55EDC"/>
    <w:rsid w:val="00E562C1"/>
    <w:rsid w:val="00E57019"/>
    <w:rsid w:val="00E60005"/>
    <w:rsid w:val="00E605C5"/>
    <w:rsid w:val="00E609D6"/>
    <w:rsid w:val="00E611CE"/>
    <w:rsid w:val="00E61EA5"/>
    <w:rsid w:val="00E62336"/>
    <w:rsid w:val="00E62BCA"/>
    <w:rsid w:val="00E63073"/>
    <w:rsid w:val="00E630DE"/>
    <w:rsid w:val="00E63B0F"/>
    <w:rsid w:val="00E6424A"/>
    <w:rsid w:val="00E64BF7"/>
    <w:rsid w:val="00E6563F"/>
    <w:rsid w:val="00E70D79"/>
    <w:rsid w:val="00E73724"/>
    <w:rsid w:val="00E73A4C"/>
    <w:rsid w:val="00E748E8"/>
    <w:rsid w:val="00E755AF"/>
    <w:rsid w:val="00E80BC2"/>
    <w:rsid w:val="00E80FC3"/>
    <w:rsid w:val="00E8146F"/>
    <w:rsid w:val="00E818CF"/>
    <w:rsid w:val="00E81DBD"/>
    <w:rsid w:val="00E81E8A"/>
    <w:rsid w:val="00E81E8C"/>
    <w:rsid w:val="00E828C3"/>
    <w:rsid w:val="00E8298C"/>
    <w:rsid w:val="00E829C8"/>
    <w:rsid w:val="00E830FC"/>
    <w:rsid w:val="00E8369C"/>
    <w:rsid w:val="00E8379C"/>
    <w:rsid w:val="00E840CD"/>
    <w:rsid w:val="00E84E5C"/>
    <w:rsid w:val="00E8621B"/>
    <w:rsid w:val="00E86B65"/>
    <w:rsid w:val="00E86C9A"/>
    <w:rsid w:val="00E86D13"/>
    <w:rsid w:val="00E8718A"/>
    <w:rsid w:val="00E9253D"/>
    <w:rsid w:val="00E92ADE"/>
    <w:rsid w:val="00E92BED"/>
    <w:rsid w:val="00E93390"/>
    <w:rsid w:val="00E93532"/>
    <w:rsid w:val="00E9409B"/>
    <w:rsid w:val="00E941F0"/>
    <w:rsid w:val="00E9507F"/>
    <w:rsid w:val="00E952EC"/>
    <w:rsid w:val="00E97494"/>
    <w:rsid w:val="00EA21FA"/>
    <w:rsid w:val="00EA2B1A"/>
    <w:rsid w:val="00EA2C91"/>
    <w:rsid w:val="00EA31AC"/>
    <w:rsid w:val="00EA4191"/>
    <w:rsid w:val="00EA5136"/>
    <w:rsid w:val="00EA521F"/>
    <w:rsid w:val="00EA5AC7"/>
    <w:rsid w:val="00EA642E"/>
    <w:rsid w:val="00EA7F89"/>
    <w:rsid w:val="00EB0825"/>
    <w:rsid w:val="00EB3339"/>
    <w:rsid w:val="00EB3776"/>
    <w:rsid w:val="00EB459D"/>
    <w:rsid w:val="00EB4A4D"/>
    <w:rsid w:val="00EB58EA"/>
    <w:rsid w:val="00EB772E"/>
    <w:rsid w:val="00EB7F75"/>
    <w:rsid w:val="00EC17CB"/>
    <w:rsid w:val="00EC1F32"/>
    <w:rsid w:val="00EC2E81"/>
    <w:rsid w:val="00EC3323"/>
    <w:rsid w:val="00EC3AC0"/>
    <w:rsid w:val="00EC41EF"/>
    <w:rsid w:val="00EC4C4A"/>
    <w:rsid w:val="00EC63A4"/>
    <w:rsid w:val="00EC6D31"/>
    <w:rsid w:val="00ED1D42"/>
    <w:rsid w:val="00ED2819"/>
    <w:rsid w:val="00ED2858"/>
    <w:rsid w:val="00ED3A00"/>
    <w:rsid w:val="00ED3BBF"/>
    <w:rsid w:val="00ED42DC"/>
    <w:rsid w:val="00ED477F"/>
    <w:rsid w:val="00ED5876"/>
    <w:rsid w:val="00ED6012"/>
    <w:rsid w:val="00ED63FC"/>
    <w:rsid w:val="00ED6401"/>
    <w:rsid w:val="00ED6C3D"/>
    <w:rsid w:val="00ED765E"/>
    <w:rsid w:val="00ED7973"/>
    <w:rsid w:val="00EE0689"/>
    <w:rsid w:val="00EE07EB"/>
    <w:rsid w:val="00EE0BEC"/>
    <w:rsid w:val="00EE1F79"/>
    <w:rsid w:val="00EE20D8"/>
    <w:rsid w:val="00EE4418"/>
    <w:rsid w:val="00EE4E46"/>
    <w:rsid w:val="00EE5D87"/>
    <w:rsid w:val="00EE625C"/>
    <w:rsid w:val="00EF04E9"/>
    <w:rsid w:val="00EF168F"/>
    <w:rsid w:val="00EF31E5"/>
    <w:rsid w:val="00EF41C8"/>
    <w:rsid w:val="00EF4E81"/>
    <w:rsid w:val="00EF5400"/>
    <w:rsid w:val="00EF5A36"/>
    <w:rsid w:val="00EF679A"/>
    <w:rsid w:val="00EF794F"/>
    <w:rsid w:val="00F013AC"/>
    <w:rsid w:val="00F01860"/>
    <w:rsid w:val="00F022A5"/>
    <w:rsid w:val="00F024A7"/>
    <w:rsid w:val="00F05667"/>
    <w:rsid w:val="00F063D6"/>
    <w:rsid w:val="00F07621"/>
    <w:rsid w:val="00F07BB6"/>
    <w:rsid w:val="00F10226"/>
    <w:rsid w:val="00F118D0"/>
    <w:rsid w:val="00F136B4"/>
    <w:rsid w:val="00F13B4E"/>
    <w:rsid w:val="00F143BF"/>
    <w:rsid w:val="00F1547A"/>
    <w:rsid w:val="00F15DD7"/>
    <w:rsid w:val="00F1650A"/>
    <w:rsid w:val="00F16DAF"/>
    <w:rsid w:val="00F17056"/>
    <w:rsid w:val="00F20D67"/>
    <w:rsid w:val="00F22F92"/>
    <w:rsid w:val="00F25DAE"/>
    <w:rsid w:val="00F269F6"/>
    <w:rsid w:val="00F26D3F"/>
    <w:rsid w:val="00F2765D"/>
    <w:rsid w:val="00F27737"/>
    <w:rsid w:val="00F300DF"/>
    <w:rsid w:val="00F302AF"/>
    <w:rsid w:val="00F307FB"/>
    <w:rsid w:val="00F30A9B"/>
    <w:rsid w:val="00F30C99"/>
    <w:rsid w:val="00F32388"/>
    <w:rsid w:val="00F32EDE"/>
    <w:rsid w:val="00F33497"/>
    <w:rsid w:val="00F336DE"/>
    <w:rsid w:val="00F33B85"/>
    <w:rsid w:val="00F340FE"/>
    <w:rsid w:val="00F357FD"/>
    <w:rsid w:val="00F361B4"/>
    <w:rsid w:val="00F3629B"/>
    <w:rsid w:val="00F3642E"/>
    <w:rsid w:val="00F36ABE"/>
    <w:rsid w:val="00F372B8"/>
    <w:rsid w:val="00F375A6"/>
    <w:rsid w:val="00F37B75"/>
    <w:rsid w:val="00F37D47"/>
    <w:rsid w:val="00F4030C"/>
    <w:rsid w:val="00F41846"/>
    <w:rsid w:val="00F42D95"/>
    <w:rsid w:val="00F45939"/>
    <w:rsid w:val="00F47244"/>
    <w:rsid w:val="00F472A5"/>
    <w:rsid w:val="00F50215"/>
    <w:rsid w:val="00F51659"/>
    <w:rsid w:val="00F51D71"/>
    <w:rsid w:val="00F525D1"/>
    <w:rsid w:val="00F5277D"/>
    <w:rsid w:val="00F53CED"/>
    <w:rsid w:val="00F54569"/>
    <w:rsid w:val="00F6055C"/>
    <w:rsid w:val="00F6177D"/>
    <w:rsid w:val="00F61FDD"/>
    <w:rsid w:val="00F6509A"/>
    <w:rsid w:val="00F6573D"/>
    <w:rsid w:val="00F66698"/>
    <w:rsid w:val="00F66700"/>
    <w:rsid w:val="00F66BD8"/>
    <w:rsid w:val="00F66E1C"/>
    <w:rsid w:val="00F66EFF"/>
    <w:rsid w:val="00F710FE"/>
    <w:rsid w:val="00F7161C"/>
    <w:rsid w:val="00F72B0B"/>
    <w:rsid w:val="00F740B2"/>
    <w:rsid w:val="00F75273"/>
    <w:rsid w:val="00F762F3"/>
    <w:rsid w:val="00F76355"/>
    <w:rsid w:val="00F76565"/>
    <w:rsid w:val="00F7737A"/>
    <w:rsid w:val="00F77DAD"/>
    <w:rsid w:val="00F77E93"/>
    <w:rsid w:val="00F80255"/>
    <w:rsid w:val="00F81DD0"/>
    <w:rsid w:val="00F82E1F"/>
    <w:rsid w:val="00F83262"/>
    <w:rsid w:val="00F836D3"/>
    <w:rsid w:val="00F846E0"/>
    <w:rsid w:val="00F851C0"/>
    <w:rsid w:val="00F866A0"/>
    <w:rsid w:val="00F87DD3"/>
    <w:rsid w:val="00F91BA6"/>
    <w:rsid w:val="00F921B5"/>
    <w:rsid w:val="00F948F8"/>
    <w:rsid w:val="00F94E15"/>
    <w:rsid w:val="00F95750"/>
    <w:rsid w:val="00F965A3"/>
    <w:rsid w:val="00F96B48"/>
    <w:rsid w:val="00FA01F7"/>
    <w:rsid w:val="00FA1C9E"/>
    <w:rsid w:val="00FA2372"/>
    <w:rsid w:val="00FA2779"/>
    <w:rsid w:val="00FA2D4B"/>
    <w:rsid w:val="00FA2DF3"/>
    <w:rsid w:val="00FA384E"/>
    <w:rsid w:val="00FA3F3A"/>
    <w:rsid w:val="00FA430E"/>
    <w:rsid w:val="00FA5226"/>
    <w:rsid w:val="00FA78F0"/>
    <w:rsid w:val="00FB00E9"/>
    <w:rsid w:val="00FB3104"/>
    <w:rsid w:val="00FB3A0D"/>
    <w:rsid w:val="00FB4E2F"/>
    <w:rsid w:val="00FB51D0"/>
    <w:rsid w:val="00FB73F2"/>
    <w:rsid w:val="00FC0177"/>
    <w:rsid w:val="00FC03A9"/>
    <w:rsid w:val="00FC040F"/>
    <w:rsid w:val="00FC0F4D"/>
    <w:rsid w:val="00FC139F"/>
    <w:rsid w:val="00FC1AB4"/>
    <w:rsid w:val="00FC2169"/>
    <w:rsid w:val="00FC4C30"/>
    <w:rsid w:val="00FC515F"/>
    <w:rsid w:val="00FC52D0"/>
    <w:rsid w:val="00FC5DCB"/>
    <w:rsid w:val="00FC6471"/>
    <w:rsid w:val="00FC757A"/>
    <w:rsid w:val="00FD0E72"/>
    <w:rsid w:val="00FD10B9"/>
    <w:rsid w:val="00FD1191"/>
    <w:rsid w:val="00FD1BA1"/>
    <w:rsid w:val="00FD2747"/>
    <w:rsid w:val="00FD28BF"/>
    <w:rsid w:val="00FD3068"/>
    <w:rsid w:val="00FD35CF"/>
    <w:rsid w:val="00FD3C4E"/>
    <w:rsid w:val="00FD4065"/>
    <w:rsid w:val="00FD40D3"/>
    <w:rsid w:val="00FD4384"/>
    <w:rsid w:val="00FD473B"/>
    <w:rsid w:val="00FD5D36"/>
    <w:rsid w:val="00FD78C5"/>
    <w:rsid w:val="00FE0778"/>
    <w:rsid w:val="00FE0BD3"/>
    <w:rsid w:val="00FE1E7D"/>
    <w:rsid w:val="00FE1FAF"/>
    <w:rsid w:val="00FE2888"/>
    <w:rsid w:val="00FE2C89"/>
    <w:rsid w:val="00FE3161"/>
    <w:rsid w:val="00FE4380"/>
    <w:rsid w:val="00FE503A"/>
    <w:rsid w:val="00FF021D"/>
    <w:rsid w:val="00FF12AF"/>
    <w:rsid w:val="00FF3341"/>
    <w:rsid w:val="00FF34A8"/>
    <w:rsid w:val="00FF36F2"/>
    <w:rsid w:val="00FF3ABA"/>
    <w:rsid w:val="00FF42B9"/>
    <w:rsid w:val="00FF624C"/>
    <w:rsid w:val="00FF6ECA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DACC96-AF77-4130-B009-8055C6CC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7D"/>
    <w:pPr>
      <w:suppressAutoHyphens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826C7D"/>
    <w:pPr>
      <w:keepNext/>
      <w:numPr>
        <w:numId w:val="1"/>
      </w:numPr>
      <w:jc w:val="center"/>
      <w:outlineLvl w:val="0"/>
    </w:pPr>
    <w:rPr>
      <w:b/>
      <w:bCs/>
      <w:sz w:val="24"/>
      <w:u w:val="single"/>
    </w:rPr>
  </w:style>
  <w:style w:type="paragraph" w:styleId="2">
    <w:name w:val="heading 2"/>
    <w:basedOn w:val="a"/>
    <w:next w:val="a"/>
    <w:link w:val="21"/>
    <w:uiPriority w:val="99"/>
    <w:qFormat/>
    <w:rsid w:val="00826C7D"/>
    <w:pPr>
      <w:keepNext/>
      <w:numPr>
        <w:ilvl w:val="1"/>
        <w:numId w:val="1"/>
      </w:numPr>
      <w:jc w:val="both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1"/>
    <w:uiPriority w:val="99"/>
    <w:qFormat/>
    <w:rsid w:val="00826C7D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1"/>
    <w:uiPriority w:val="99"/>
    <w:qFormat/>
    <w:rsid w:val="00826C7D"/>
    <w:pPr>
      <w:keepNext/>
      <w:tabs>
        <w:tab w:val="left" w:pos="0"/>
      </w:tabs>
      <w:spacing w:before="240" w:after="60" w:line="276" w:lineRule="auto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1"/>
    <w:uiPriority w:val="99"/>
    <w:qFormat/>
    <w:rsid w:val="00826C7D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1"/>
    <w:uiPriority w:val="99"/>
    <w:qFormat/>
    <w:rsid w:val="00826C7D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284999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284999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8499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284999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71">
    <w:name w:val="Заголовок 7 Знак1"/>
    <w:basedOn w:val="a0"/>
    <w:link w:val="7"/>
    <w:uiPriority w:val="99"/>
    <w:semiHidden/>
    <w:locked/>
    <w:rsid w:val="00284999"/>
    <w:rPr>
      <w:rFonts w:ascii="Calibri" w:hAnsi="Calibri" w:cs="Times New Roman"/>
      <w:sz w:val="24"/>
      <w:szCs w:val="24"/>
      <w:lang w:eastAsia="zh-CN"/>
    </w:rPr>
  </w:style>
  <w:style w:type="character" w:customStyle="1" w:styleId="81">
    <w:name w:val="Заголовок 8 Знак1"/>
    <w:basedOn w:val="a0"/>
    <w:link w:val="8"/>
    <w:uiPriority w:val="99"/>
    <w:semiHidden/>
    <w:locked/>
    <w:rsid w:val="00284999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12">
    <w:name w:val="Основной шрифт абзаца12"/>
    <w:uiPriority w:val="99"/>
    <w:rsid w:val="00826C7D"/>
  </w:style>
  <w:style w:type="character" w:customStyle="1" w:styleId="110">
    <w:name w:val="Основной шрифт абзаца11"/>
    <w:uiPriority w:val="99"/>
    <w:rsid w:val="00826C7D"/>
  </w:style>
  <w:style w:type="character" w:customStyle="1" w:styleId="10">
    <w:name w:val="Основной шрифт абзаца10"/>
    <w:uiPriority w:val="99"/>
    <w:rsid w:val="00826C7D"/>
  </w:style>
  <w:style w:type="character" w:customStyle="1" w:styleId="Absatz-Standardschriftart">
    <w:name w:val="Absatz-Standardschriftart"/>
    <w:uiPriority w:val="99"/>
    <w:rsid w:val="00826C7D"/>
  </w:style>
  <w:style w:type="character" w:customStyle="1" w:styleId="9">
    <w:name w:val="Основной шрифт абзаца9"/>
    <w:uiPriority w:val="99"/>
    <w:rsid w:val="00826C7D"/>
  </w:style>
  <w:style w:type="character" w:customStyle="1" w:styleId="80">
    <w:name w:val="Основной шрифт абзаца8"/>
    <w:uiPriority w:val="99"/>
    <w:rsid w:val="00826C7D"/>
  </w:style>
  <w:style w:type="character" w:customStyle="1" w:styleId="70">
    <w:name w:val="Основной шрифт абзаца7"/>
    <w:uiPriority w:val="99"/>
    <w:rsid w:val="00826C7D"/>
  </w:style>
  <w:style w:type="character" w:customStyle="1" w:styleId="6">
    <w:name w:val="Основной шрифт абзаца6"/>
    <w:uiPriority w:val="99"/>
    <w:rsid w:val="00826C7D"/>
  </w:style>
  <w:style w:type="character" w:customStyle="1" w:styleId="5">
    <w:name w:val="Основной шрифт абзаца5"/>
    <w:uiPriority w:val="99"/>
    <w:rsid w:val="00826C7D"/>
  </w:style>
  <w:style w:type="character" w:customStyle="1" w:styleId="WW-Absatz-Standardschriftart">
    <w:name w:val="WW-Absatz-Standardschriftart"/>
    <w:uiPriority w:val="99"/>
    <w:rsid w:val="00826C7D"/>
  </w:style>
  <w:style w:type="character" w:customStyle="1" w:styleId="40">
    <w:name w:val="Основной шрифт абзаца4"/>
    <w:uiPriority w:val="99"/>
    <w:rsid w:val="00826C7D"/>
  </w:style>
  <w:style w:type="character" w:customStyle="1" w:styleId="WW-Absatz-Standardschriftart1">
    <w:name w:val="WW-Absatz-Standardschriftart1"/>
    <w:uiPriority w:val="99"/>
    <w:rsid w:val="00826C7D"/>
  </w:style>
  <w:style w:type="character" w:customStyle="1" w:styleId="30">
    <w:name w:val="Основной шрифт абзаца3"/>
    <w:uiPriority w:val="99"/>
    <w:rsid w:val="00826C7D"/>
  </w:style>
  <w:style w:type="character" w:customStyle="1" w:styleId="WW-Absatz-Standardschriftart11">
    <w:name w:val="WW-Absatz-Standardschriftart11"/>
    <w:uiPriority w:val="99"/>
    <w:rsid w:val="00826C7D"/>
  </w:style>
  <w:style w:type="character" w:customStyle="1" w:styleId="WW-Absatz-Standardschriftart111">
    <w:name w:val="WW-Absatz-Standardschriftart111"/>
    <w:uiPriority w:val="99"/>
    <w:rsid w:val="00826C7D"/>
  </w:style>
  <w:style w:type="character" w:customStyle="1" w:styleId="WW-Absatz-Standardschriftart1111">
    <w:name w:val="WW-Absatz-Standardschriftart1111"/>
    <w:uiPriority w:val="99"/>
    <w:rsid w:val="00826C7D"/>
  </w:style>
  <w:style w:type="character" w:customStyle="1" w:styleId="WW-Absatz-Standardschriftart11111">
    <w:name w:val="WW-Absatz-Standardschriftart11111"/>
    <w:uiPriority w:val="99"/>
    <w:rsid w:val="00826C7D"/>
  </w:style>
  <w:style w:type="character" w:customStyle="1" w:styleId="WW8Num2z0">
    <w:name w:val="WW8Num2z0"/>
    <w:uiPriority w:val="99"/>
    <w:rsid w:val="00826C7D"/>
    <w:rPr>
      <w:rFonts w:ascii="Times New Roman" w:hAnsi="Times New Roman"/>
    </w:rPr>
  </w:style>
  <w:style w:type="character" w:customStyle="1" w:styleId="20">
    <w:name w:val="Основной шрифт абзаца2"/>
    <w:uiPriority w:val="99"/>
    <w:rsid w:val="00826C7D"/>
  </w:style>
  <w:style w:type="character" w:customStyle="1" w:styleId="WW8Num1z0">
    <w:name w:val="WW8Num1z0"/>
    <w:uiPriority w:val="99"/>
    <w:rsid w:val="00826C7D"/>
    <w:rPr>
      <w:rFonts w:ascii="Times New Roman" w:hAnsi="Times New Roman"/>
    </w:rPr>
  </w:style>
  <w:style w:type="character" w:customStyle="1" w:styleId="WW8Num2z1">
    <w:name w:val="WW8Num2z1"/>
    <w:uiPriority w:val="99"/>
    <w:rsid w:val="00826C7D"/>
    <w:rPr>
      <w:rFonts w:ascii="Courier New" w:hAnsi="Courier New"/>
    </w:rPr>
  </w:style>
  <w:style w:type="character" w:customStyle="1" w:styleId="WW8Num2z2">
    <w:name w:val="WW8Num2z2"/>
    <w:uiPriority w:val="99"/>
    <w:rsid w:val="00826C7D"/>
    <w:rPr>
      <w:rFonts w:ascii="Wingdings" w:hAnsi="Wingdings"/>
    </w:rPr>
  </w:style>
  <w:style w:type="character" w:customStyle="1" w:styleId="WW8Num2z3">
    <w:name w:val="WW8Num2z3"/>
    <w:uiPriority w:val="99"/>
    <w:rsid w:val="00826C7D"/>
    <w:rPr>
      <w:rFonts w:ascii="Symbol" w:hAnsi="Symbol"/>
    </w:rPr>
  </w:style>
  <w:style w:type="character" w:customStyle="1" w:styleId="WW8Num6z0">
    <w:name w:val="WW8Num6z0"/>
    <w:uiPriority w:val="99"/>
    <w:rsid w:val="00826C7D"/>
    <w:rPr>
      <w:rFonts w:ascii="Wingdings" w:hAnsi="Wingdings"/>
    </w:rPr>
  </w:style>
  <w:style w:type="character" w:customStyle="1" w:styleId="WW8Num6z1">
    <w:name w:val="WW8Num6z1"/>
    <w:uiPriority w:val="99"/>
    <w:rsid w:val="00826C7D"/>
    <w:rPr>
      <w:rFonts w:ascii="Courier New" w:hAnsi="Courier New"/>
    </w:rPr>
  </w:style>
  <w:style w:type="character" w:customStyle="1" w:styleId="WW8Num6z3">
    <w:name w:val="WW8Num6z3"/>
    <w:uiPriority w:val="99"/>
    <w:rsid w:val="00826C7D"/>
    <w:rPr>
      <w:rFonts w:ascii="Symbol" w:hAnsi="Symbol"/>
    </w:rPr>
  </w:style>
  <w:style w:type="character" w:customStyle="1" w:styleId="WW8Num7z0">
    <w:name w:val="WW8Num7z0"/>
    <w:uiPriority w:val="99"/>
    <w:rsid w:val="00826C7D"/>
    <w:rPr>
      <w:rFonts w:ascii="Symbol" w:hAnsi="Symbol"/>
    </w:rPr>
  </w:style>
  <w:style w:type="character" w:customStyle="1" w:styleId="WW8Num7z1">
    <w:name w:val="WW8Num7z1"/>
    <w:uiPriority w:val="99"/>
    <w:rsid w:val="00826C7D"/>
    <w:rPr>
      <w:rFonts w:ascii="Courier New" w:hAnsi="Courier New"/>
    </w:rPr>
  </w:style>
  <w:style w:type="character" w:customStyle="1" w:styleId="WW8Num7z2">
    <w:name w:val="WW8Num7z2"/>
    <w:uiPriority w:val="99"/>
    <w:rsid w:val="00826C7D"/>
    <w:rPr>
      <w:rFonts w:ascii="Wingdings" w:hAnsi="Wingdings"/>
    </w:rPr>
  </w:style>
  <w:style w:type="character" w:customStyle="1" w:styleId="13">
    <w:name w:val="Основной шрифт абзаца1"/>
    <w:uiPriority w:val="99"/>
    <w:rsid w:val="00826C7D"/>
  </w:style>
  <w:style w:type="character" w:styleId="a3">
    <w:name w:val="page number"/>
    <w:basedOn w:val="13"/>
    <w:uiPriority w:val="99"/>
    <w:rsid w:val="00826C7D"/>
    <w:rPr>
      <w:rFonts w:cs="Times New Roman"/>
    </w:rPr>
  </w:style>
  <w:style w:type="character" w:customStyle="1" w:styleId="a4">
    <w:name w:val="Гипертекстовая ссылка"/>
    <w:uiPriority w:val="99"/>
    <w:rsid w:val="00826C7D"/>
    <w:rPr>
      <w:color w:val="008000"/>
    </w:rPr>
  </w:style>
  <w:style w:type="character" w:customStyle="1" w:styleId="BodyTextIndent2Char">
    <w:name w:val="Body Text Indent 2 Char"/>
    <w:uiPriority w:val="99"/>
    <w:locked/>
    <w:rsid w:val="00826C7D"/>
    <w:rPr>
      <w:sz w:val="24"/>
      <w:lang w:val="ru-RU"/>
    </w:rPr>
  </w:style>
  <w:style w:type="character" w:customStyle="1" w:styleId="a5">
    <w:name w:val="Текст Знак"/>
    <w:uiPriority w:val="99"/>
    <w:rsid w:val="00826C7D"/>
    <w:rPr>
      <w:rFonts w:ascii="Courier New" w:hAnsi="Courier New"/>
      <w:lang w:val="ru-RU"/>
    </w:rPr>
  </w:style>
  <w:style w:type="character" w:customStyle="1" w:styleId="TitleChar">
    <w:name w:val="Title Char"/>
    <w:uiPriority w:val="99"/>
    <w:locked/>
    <w:rsid w:val="00826C7D"/>
    <w:rPr>
      <w:b/>
      <w:sz w:val="24"/>
      <w:lang w:val="ru-RU"/>
    </w:rPr>
  </w:style>
  <w:style w:type="character" w:customStyle="1" w:styleId="a6">
    <w:name w:val="Основной текст с отступом Знак"/>
    <w:uiPriority w:val="99"/>
    <w:rsid w:val="00826C7D"/>
    <w:rPr>
      <w:sz w:val="24"/>
      <w:lang w:val="ru-RU"/>
    </w:rPr>
  </w:style>
  <w:style w:type="character" w:styleId="a7">
    <w:name w:val="Strong"/>
    <w:basedOn w:val="a0"/>
    <w:uiPriority w:val="22"/>
    <w:qFormat/>
    <w:rsid w:val="00826C7D"/>
    <w:rPr>
      <w:rFonts w:cs="Times New Roman"/>
      <w:b/>
    </w:rPr>
  </w:style>
  <w:style w:type="character" w:customStyle="1" w:styleId="a8">
    <w:name w:val="Нижний колонтитул Знак"/>
    <w:basedOn w:val="13"/>
    <w:uiPriority w:val="99"/>
    <w:rsid w:val="00826C7D"/>
    <w:rPr>
      <w:rFonts w:cs="Times New Roman"/>
    </w:rPr>
  </w:style>
  <w:style w:type="character" w:customStyle="1" w:styleId="a9">
    <w:name w:val="Текст концевой сноски Знак"/>
    <w:basedOn w:val="13"/>
    <w:uiPriority w:val="99"/>
    <w:rsid w:val="00826C7D"/>
    <w:rPr>
      <w:rFonts w:cs="Times New Roman"/>
    </w:rPr>
  </w:style>
  <w:style w:type="character" w:customStyle="1" w:styleId="aa">
    <w:name w:val="Символы концевой сноски"/>
    <w:uiPriority w:val="99"/>
    <w:rsid w:val="00826C7D"/>
    <w:rPr>
      <w:vertAlign w:val="superscript"/>
    </w:rPr>
  </w:style>
  <w:style w:type="character" w:customStyle="1" w:styleId="ab">
    <w:name w:val="Текст сноски Знак"/>
    <w:basedOn w:val="13"/>
    <w:uiPriority w:val="99"/>
    <w:rsid w:val="00826C7D"/>
    <w:rPr>
      <w:rFonts w:cs="Times New Roman"/>
    </w:rPr>
  </w:style>
  <w:style w:type="character" w:customStyle="1" w:styleId="ac">
    <w:name w:val="Символ сноски"/>
    <w:uiPriority w:val="99"/>
    <w:rsid w:val="00826C7D"/>
    <w:rPr>
      <w:vertAlign w:val="superscript"/>
    </w:rPr>
  </w:style>
  <w:style w:type="character" w:customStyle="1" w:styleId="22">
    <w:name w:val="Основной текст 2 Знак"/>
    <w:basedOn w:val="13"/>
    <w:uiPriority w:val="99"/>
    <w:rsid w:val="00826C7D"/>
    <w:rPr>
      <w:rFonts w:cs="Times New Roman"/>
    </w:rPr>
  </w:style>
  <w:style w:type="character" w:customStyle="1" w:styleId="72">
    <w:name w:val="Заголовок 7 Знак"/>
    <w:uiPriority w:val="99"/>
    <w:rsid w:val="00826C7D"/>
    <w:rPr>
      <w:rFonts w:ascii="Calibri" w:hAnsi="Calibri"/>
      <w:sz w:val="24"/>
    </w:rPr>
  </w:style>
  <w:style w:type="character" w:customStyle="1" w:styleId="82">
    <w:name w:val="Заголовок 8 Знак"/>
    <w:uiPriority w:val="99"/>
    <w:rsid w:val="00826C7D"/>
    <w:rPr>
      <w:rFonts w:ascii="Calibri" w:hAnsi="Calibri"/>
      <w:i/>
      <w:sz w:val="24"/>
    </w:rPr>
  </w:style>
  <w:style w:type="character" w:customStyle="1" w:styleId="ad">
    <w:name w:val="Основной текст Знак"/>
    <w:uiPriority w:val="99"/>
    <w:rsid w:val="00826C7D"/>
    <w:rPr>
      <w:sz w:val="24"/>
    </w:rPr>
  </w:style>
  <w:style w:type="character" w:customStyle="1" w:styleId="BodyTextIndent3Char">
    <w:name w:val="Body Text Indent 3 Char"/>
    <w:uiPriority w:val="99"/>
    <w:locked/>
    <w:rsid w:val="00826C7D"/>
    <w:rPr>
      <w:sz w:val="24"/>
    </w:rPr>
  </w:style>
  <w:style w:type="character" w:customStyle="1" w:styleId="14">
    <w:name w:val="Заголовок 1 Знак"/>
    <w:uiPriority w:val="99"/>
    <w:rsid w:val="00826C7D"/>
    <w:rPr>
      <w:b/>
      <w:sz w:val="24"/>
      <w:u w:val="single"/>
    </w:rPr>
  </w:style>
  <w:style w:type="character" w:customStyle="1" w:styleId="23">
    <w:name w:val="Заголовок 2 Знак"/>
    <w:uiPriority w:val="99"/>
    <w:rsid w:val="00826C7D"/>
    <w:rPr>
      <w:rFonts w:eastAsia="Arial Unicode MS"/>
      <w:sz w:val="28"/>
    </w:rPr>
  </w:style>
  <w:style w:type="character" w:customStyle="1" w:styleId="32">
    <w:name w:val="Заголовок 3 Знак"/>
    <w:uiPriority w:val="99"/>
    <w:rsid w:val="00826C7D"/>
    <w:rPr>
      <w:b/>
      <w:sz w:val="24"/>
    </w:rPr>
  </w:style>
  <w:style w:type="character" w:customStyle="1" w:styleId="ae">
    <w:name w:val="Верхний колонтитул Знак"/>
    <w:basedOn w:val="13"/>
    <w:uiPriority w:val="99"/>
    <w:rsid w:val="00826C7D"/>
    <w:rPr>
      <w:rFonts w:cs="Times New Roman"/>
    </w:rPr>
  </w:style>
  <w:style w:type="character" w:customStyle="1" w:styleId="af">
    <w:name w:val="Без интервала Знак"/>
    <w:rsid w:val="00826C7D"/>
    <w:rPr>
      <w:rFonts w:ascii="Calibri" w:hAnsi="Calibri"/>
      <w:sz w:val="22"/>
      <w:lang w:val="ru-RU"/>
    </w:rPr>
  </w:style>
  <w:style w:type="character" w:customStyle="1" w:styleId="apple-converted-space">
    <w:name w:val="apple-converted-space"/>
    <w:basedOn w:val="13"/>
    <w:rsid w:val="00826C7D"/>
    <w:rPr>
      <w:rFonts w:cs="Times New Roman"/>
    </w:rPr>
  </w:style>
  <w:style w:type="character" w:customStyle="1" w:styleId="42">
    <w:name w:val="Заголовок 4 Знак"/>
    <w:uiPriority w:val="99"/>
    <w:rsid w:val="00826C7D"/>
    <w:rPr>
      <w:rFonts w:ascii="Calibri" w:hAnsi="Calibri"/>
      <w:b/>
      <w:sz w:val="28"/>
    </w:rPr>
  </w:style>
  <w:style w:type="character" w:customStyle="1" w:styleId="210">
    <w:name w:val="Основной текст с отступом 2 Знак1"/>
    <w:basedOn w:val="80"/>
    <w:uiPriority w:val="99"/>
    <w:rsid w:val="00826C7D"/>
    <w:rPr>
      <w:rFonts w:cs="Times New Roman"/>
    </w:rPr>
  </w:style>
  <w:style w:type="character" w:customStyle="1" w:styleId="15">
    <w:name w:val="Название Знак1"/>
    <w:uiPriority w:val="99"/>
    <w:rsid w:val="00826C7D"/>
    <w:rPr>
      <w:rFonts w:ascii="Cambria" w:hAnsi="Cambria"/>
      <w:b/>
      <w:kern w:val="1"/>
      <w:sz w:val="32"/>
    </w:rPr>
  </w:style>
  <w:style w:type="character" w:customStyle="1" w:styleId="FontStyle12">
    <w:name w:val="Font Style12"/>
    <w:uiPriority w:val="99"/>
    <w:rsid w:val="00826C7D"/>
    <w:rPr>
      <w:rFonts w:ascii="Times New Roman" w:hAnsi="Times New Roman"/>
      <w:sz w:val="28"/>
    </w:rPr>
  </w:style>
  <w:style w:type="paragraph" w:customStyle="1" w:styleId="16">
    <w:name w:val="Заголовок1"/>
    <w:basedOn w:val="a"/>
    <w:next w:val="af0"/>
    <w:uiPriority w:val="99"/>
    <w:rsid w:val="00826C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link w:val="17"/>
    <w:uiPriority w:val="99"/>
    <w:rsid w:val="00826C7D"/>
    <w:pPr>
      <w:jc w:val="both"/>
    </w:pPr>
    <w:rPr>
      <w:sz w:val="24"/>
    </w:rPr>
  </w:style>
  <w:style w:type="character" w:customStyle="1" w:styleId="17">
    <w:name w:val="Основной текст Знак1"/>
    <w:basedOn w:val="a0"/>
    <w:link w:val="af0"/>
    <w:uiPriority w:val="99"/>
    <w:locked/>
    <w:rsid w:val="00284999"/>
    <w:rPr>
      <w:rFonts w:cs="Times New Roman"/>
      <w:sz w:val="20"/>
      <w:szCs w:val="20"/>
      <w:lang w:eastAsia="zh-CN"/>
    </w:rPr>
  </w:style>
  <w:style w:type="paragraph" w:styleId="af1">
    <w:name w:val="List"/>
    <w:basedOn w:val="af0"/>
    <w:uiPriority w:val="99"/>
    <w:rsid w:val="00826C7D"/>
    <w:rPr>
      <w:rFonts w:cs="Mangal"/>
    </w:rPr>
  </w:style>
  <w:style w:type="paragraph" w:styleId="af2">
    <w:name w:val="caption"/>
    <w:basedOn w:val="a"/>
    <w:uiPriority w:val="99"/>
    <w:qFormat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0">
    <w:name w:val="Указатель12"/>
    <w:basedOn w:val="a"/>
    <w:uiPriority w:val="99"/>
    <w:rsid w:val="00826C7D"/>
    <w:pPr>
      <w:suppressLineNumbers/>
    </w:pPr>
    <w:rPr>
      <w:rFonts w:cs="Mangal"/>
    </w:rPr>
  </w:style>
  <w:style w:type="paragraph" w:customStyle="1" w:styleId="43">
    <w:name w:val="Название объекта4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uiPriority w:val="99"/>
    <w:rsid w:val="00826C7D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uiPriority w:val="99"/>
    <w:rsid w:val="00826C7D"/>
    <w:pPr>
      <w:suppressLineNumbers/>
    </w:pPr>
    <w:rPr>
      <w:rFonts w:cs="Mangal"/>
    </w:rPr>
  </w:style>
  <w:style w:type="paragraph" w:customStyle="1" w:styleId="73">
    <w:name w:val="Название7"/>
    <w:basedOn w:val="a"/>
    <w:next w:val="af3"/>
    <w:uiPriority w:val="99"/>
    <w:rsid w:val="00826C7D"/>
    <w:pPr>
      <w:suppressAutoHyphens w:val="0"/>
      <w:jc w:val="center"/>
    </w:pPr>
    <w:rPr>
      <w:b/>
      <w:bCs/>
      <w:sz w:val="24"/>
    </w:rPr>
  </w:style>
  <w:style w:type="paragraph" w:customStyle="1" w:styleId="90">
    <w:name w:val="Указатель9"/>
    <w:basedOn w:val="a"/>
    <w:uiPriority w:val="99"/>
    <w:rsid w:val="00826C7D"/>
    <w:pPr>
      <w:suppressLineNumbers/>
    </w:pPr>
    <w:rPr>
      <w:rFonts w:cs="Mangal"/>
    </w:rPr>
  </w:style>
  <w:style w:type="paragraph" w:customStyle="1" w:styleId="60">
    <w:name w:val="Название6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3">
    <w:name w:val="Указатель8"/>
    <w:basedOn w:val="a"/>
    <w:uiPriority w:val="99"/>
    <w:rsid w:val="00826C7D"/>
    <w:pPr>
      <w:suppressLineNumbers/>
    </w:pPr>
    <w:rPr>
      <w:rFonts w:cs="Mangal"/>
    </w:rPr>
  </w:style>
  <w:style w:type="paragraph" w:customStyle="1" w:styleId="50">
    <w:name w:val="Название5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4">
    <w:name w:val="Указатель7"/>
    <w:basedOn w:val="a"/>
    <w:uiPriority w:val="99"/>
    <w:rsid w:val="00826C7D"/>
    <w:pPr>
      <w:suppressLineNumbers/>
    </w:pPr>
    <w:rPr>
      <w:rFonts w:cs="Mangal"/>
    </w:rPr>
  </w:style>
  <w:style w:type="paragraph" w:customStyle="1" w:styleId="44">
    <w:name w:val="Название4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uiPriority w:val="99"/>
    <w:rsid w:val="00826C7D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uiPriority w:val="99"/>
    <w:rsid w:val="00826C7D"/>
    <w:pPr>
      <w:suppressLineNumbers/>
    </w:pPr>
    <w:rPr>
      <w:rFonts w:cs="Mangal"/>
    </w:rPr>
  </w:style>
  <w:style w:type="paragraph" w:customStyle="1" w:styleId="34">
    <w:name w:val="Название3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5">
    <w:name w:val="Указатель4"/>
    <w:basedOn w:val="a"/>
    <w:uiPriority w:val="99"/>
    <w:rsid w:val="00826C7D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next w:val="af3"/>
    <w:uiPriority w:val="99"/>
    <w:rsid w:val="00826C7D"/>
    <w:pPr>
      <w:jc w:val="center"/>
    </w:pPr>
    <w:rPr>
      <w:b/>
      <w:bCs/>
      <w:sz w:val="24"/>
    </w:rPr>
  </w:style>
  <w:style w:type="paragraph" w:customStyle="1" w:styleId="35">
    <w:name w:val="Указатель3"/>
    <w:basedOn w:val="a"/>
    <w:uiPriority w:val="99"/>
    <w:rsid w:val="00826C7D"/>
    <w:pPr>
      <w:suppressLineNumbers/>
    </w:pPr>
    <w:rPr>
      <w:rFonts w:cs="Mangal"/>
    </w:rPr>
  </w:style>
  <w:style w:type="paragraph" w:customStyle="1" w:styleId="25">
    <w:name w:val="Название2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uiPriority w:val="99"/>
    <w:rsid w:val="00826C7D"/>
    <w:pPr>
      <w:suppressLineNumbers/>
    </w:pPr>
    <w:rPr>
      <w:rFonts w:cs="Mangal"/>
    </w:rPr>
  </w:style>
  <w:style w:type="paragraph" w:customStyle="1" w:styleId="19">
    <w:name w:val="Название1"/>
    <w:basedOn w:val="a"/>
    <w:uiPriority w:val="99"/>
    <w:rsid w:val="00826C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uiPriority w:val="99"/>
    <w:rsid w:val="00826C7D"/>
    <w:pPr>
      <w:suppressLineNumbers/>
    </w:pPr>
    <w:rPr>
      <w:rFonts w:cs="Mangal"/>
    </w:rPr>
  </w:style>
  <w:style w:type="paragraph" w:customStyle="1" w:styleId="ConsPlusNormal">
    <w:name w:val="ConsPlusNormal"/>
    <w:rsid w:val="00826C7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f3">
    <w:name w:val="Subtitle"/>
    <w:basedOn w:val="16"/>
    <w:next w:val="af0"/>
    <w:link w:val="af4"/>
    <w:uiPriority w:val="99"/>
    <w:qFormat/>
    <w:rsid w:val="00826C7D"/>
    <w:pPr>
      <w:jc w:val="center"/>
    </w:pPr>
    <w:rPr>
      <w:rFonts w:cs="Times New Roman"/>
      <w:i/>
      <w:iCs/>
    </w:rPr>
  </w:style>
  <w:style w:type="character" w:customStyle="1" w:styleId="af4">
    <w:name w:val="Подзаголовок Знак"/>
    <w:basedOn w:val="a0"/>
    <w:link w:val="af3"/>
    <w:uiPriority w:val="99"/>
    <w:locked/>
    <w:rsid w:val="002A65CC"/>
    <w:rPr>
      <w:rFonts w:ascii="Arial" w:eastAsia="Microsoft YaHei" w:hAnsi="Arial" w:cs="Times New Roman"/>
      <w:i/>
      <w:sz w:val="28"/>
      <w:lang w:eastAsia="zh-CN"/>
    </w:rPr>
  </w:style>
  <w:style w:type="paragraph" w:styleId="af5">
    <w:name w:val="Body Text Indent"/>
    <w:basedOn w:val="a"/>
    <w:link w:val="1b"/>
    <w:uiPriority w:val="99"/>
    <w:rsid w:val="00826C7D"/>
    <w:pPr>
      <w:ind w:right="-766" w:firstLine="720"/>
      <w:jc w:val="both"/>
    </w:pPr>
    <w:rPr>
      <w:sz w:val="24"/>
    </w:rPr>
  </w:style>
  <w:style w:type="character" w:customStyle="1" w:styleId="1b">
    <w:name w:val="Основной текст с отступом Знак1"/>
    <w:basedOn w:val="a0"/>
    <w:link w:val="af5"/>
    <w:uiPriority w:val="99"/>
    <w:locked/>
    <w:rsid w:val="00284999"/>
    <w:rPr>
      <w:rFonts w:cs="Times New Roman"/>
      <w:sz w:val="20"/>
      <w:szCs w:val="20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826C7D"/>
    <w:pPr>
      <w:ind w:right="-1050" w:firstLine="720"/>
      <w:jc w:val="both"/>
    </w:pPr>
    <w:rPr>
      <w:sz w:val="24"/>
    </w:rPr>
  </w:style>
  <w:style w:type="paragraph" w:customStyle="1" w:styleId="310">
    <w:name w:val="Основной текст с отступом 31"/>
    <w:basedOn w:val="a"/>
    <w:uiPriority w:val="99"/>
    <w:rsid w:val="00826C7D"/>
    <w:pPr>
      <w:ind w:left="780"/>
      <w:jc w:val="both"/>
    </w:pPr>
    <w:rPr>
      <w:sz w:val="24"/>
    </w:rPr>
  </w:style>
  <w:style w:type="paragraph" w:customStyle="1" w:styleId="af6">
    <w:name w:val="Знак"/>
    <w:basedOn w:val="a"/>
    <w:uiPriority w:val="99"/>
    <w:rsid w:val="00826C7D"/>
    <w:pPr>
      <w:widowControl w:val="0"/>
      <w:spacing w:after="160" w:line="240" w:lineRule="exact"/>
      <w:jc w:val="right"/>
    </w:pPr>
    <w:rPr>
      <w:lang w:val="en-GB"/>
    </w:rPr>
  </w:style>
  <w:style w:type="paragraph" w:styleId="af7">
    <w:name w:val="header"/>
    <w:basedOn w:val="a"/>
    <w:link w:val="1c"/>
    <w:uiPriority w:val="99"/>
    <w:rsid w:val="00826C7D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7"/>
    <w:uiPriority w:val="99"/>
    <w:semiHidden/>
    <w:locked/>
    <w:rsid w:val="00284999"/>
    <w:rPr>
      <w:rFonts w:cs="Times New Roman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826C7D"/>
    <w:rPr>
      <w:rFonts w:ascii="Verdana" w:hAnsi="Verdana" w:cs="Verdana"/>
      <w:lang w:val="en-US"/>
    </w:rPr>
  </w:style>
  <w:style w:type="paragraph" w:customStyle="1" w:styleId="1d">
    <w:name w:val="Без интервала1"/>
    <w:uiPriority w:val="99"/>
    <w:rsid w:val="00826C7D"/>
    <w:pPr>
      <w:suppressAutoHyphens/>
    </w:pPr>
    <w:rPr>
      <w:rFonts w:ascii="Calibri" w:hAnsi="Calibri" w:cs="Calibri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826C7D"/>
    <w:pPr>
      <w:ind w:firstLine="851"/>
      <w:jc w:val="both"/>
    </w:pPr>
    <w:rPr>
      <w:sz w:val="24"/>
    </w:rPr>
  </w:style>
  <w:style w:type="paragraph" w:styleId="af8">
    <w:name w:val="No Spacing"/>
    <w:link w:val="1e"/>
    <w:uiPriority w:val="1"/>
    <w:qFormat/>
    <w:rsid w:val="00826C7D"/>
    <w:pPr>
      <w:suppressAutoHyphens/>
    </w:pPr>
    <w:rPr>
      <w:rFonts w:ascii="Calibri" w:hAnsi="Calibri" w:cs="Calibri"/>
      <w:lang w:eastAsia="zh-CN"/>
    </w:rPr>
  </w:style>
  <w:style w:type="paragraph" w:customStyle="1" w:styleId="1f">
    <w:name w:val="Обычный1"/>
    <w:uiPriority w:val="99"/>
    <w:rsid w:val="00826C7D"/>
    <w:pPr>
      <w:widowControl w:val="0"/>
      <w:suppressAutoHyphens/>
      <w:spacing w:line="300" w:lineRule="auto"/>
      <w:ind w:firstLine="720"/>
      <w:jc w:val="both"/>
    </w:pPr>
    <w:rPr>
      <w:szCs w:val="20"/>
      <w:lang w:eastAsia="zh-CN"/>
    </w:rPr>
  </w:style>
  <w:style w:type="paragraph" w:customStyle="1" w:styleId="ConsNormal">
    <w:name w:val="ConsNormal"/>
    <w:uiPriority w:val="99"/>
    <w:rsid w:val="00826C7D"/>
    <w:pPr>
      <w:widowControl w:val="0"/>
      <w:suppressAutoHyphens/>
      <w:snapToGrid w:val="0"/>
      <w:ind w:firstLine="720"/>
    </w:pPr>
    <w:rPr>
      <w:rFonts w:ascii="Arial" w:hAnsi="Arial" w:cs="Arial"/>
      <w:szCs w:val="20"/>
      <w:lang w:eastAsia="zh-CN"/>
    </w:rPr>
  </w:style>
  <w:style w:type="paragraph" w:styleId="af9">
    <w:name w:val="Normal (Web)"/>
    <w:aliases w:val="Обычный (веб)1,Обычный (веб) Знак,Обычный (веб) Знак1,Обычный (веб) Знак Знак"/>
    <w:basedOn w:val="a"/>
    <w:rsid w:val="00826C7D"/>
    <w:pPr>
      <w:spacing w:after="240"/>
    </w:pPr>
    <w:rPr>
      <w:sz w:val="24"/>
      <w:szCs w:val="24"/>
    </w:rPr>
  </w:style>
  <w:style w:type="paragraph" w:customStyle="1" w:styleId="ConsPlusNonformat">
    <w:name w:val="ConsPlusNonformat"/>
    <w:rsid w:val="00826C7D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12">
    <w:name w:val="Основной текст 21"/>
    <w:basedOn w:val="a"/>
    <w:uiPriority w:val="99"/>
    <w:rsid w:val="00826C7D"/>
    <w:pPr>
      <w:jc w:val="both"/>
    </w:pPr>
    <w:rPr>
      <w:sz w:val="24"/>
    </w:rPr>
  </w:style>
  <w:style w:type="paragraph" w:customStyle="1" w:styleId="afa">
    <w:name w:val="Знак Знак Знак Знак Знак Знак"/>
    <w:basedOn w:val="a"/>
    <w:uiPriority w:val="99"/>
    <w:rsid w:val="00826C7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0">
    <w:name w:val="Текст1"/>
    <w:basedOn w:val="a"/>
    <w:uiPriority w:val="99"/>
    <w:rsid w:val="00826C7D"/>
    <w:rPr>
      <w:rFonts w:ascii="Courier New" w:hAnsi="Courier New" w:cs="Courier New"/>
    </w:rPr>
  </w:style>
  <w:style w:type="paragraph" w:styleId="afb">
    <w:name w:val="List Paragraph"/>
    <w:aliases w:val="Абзац списка основной"/>
    <w:basedOn w:val="a"/>
    <w:link w:val="afc"/>
    <w:qFormat/>
    <w:rsid w:val="00826C7D"/>
    <w:pPr>
      <w:ind w:left="720"/>
    </w:pPr>
    <w:rPr>
      <w:sz w:val="24"/>
    </w:rPr>
  </w:style>
  <w:style w:type="paragraph" w:customStyle="1" w:styleId="320">
    <w:name w:val="Основной текст с отступом 32"/>
    <w:basedOn w:val="a"/>
    <w:uiPriority w:val="99"/>
    <w:rsid w:val="00826C7D"/>
    <w:pPr>
      <w:tabs>
        <w:tab w:val="left" w:pos="9639"/>
      </w:tabs>
      <w:spacing w:line="360" w:lineRule="auto"/>
      <w:ind w:firstLine="720"/>
      <w:jc w:val="both"/>
    </w:pPr>
    <w:rPr>
      <w:sz w:val="28"/>
    </w:rPr>
  </w:style>
  <w:style w:type="paragraph" w:customStyle="1" w:styleId="note">
    <w:name w:val="note"/>
    <w:basedOn w:val="a"/>
    <w:uiPriority w:val="99"/>
    <w:rsid w:val="00826C7D"/>
    <w:pPr>
      <w:spacing w:before="280" w:after="280"/>
    </w:pPr>
    <w:rPr>
      <w:sz w:val="24"/>
      <w:szCs w:val="24"/>
    </w:rPr>
  </w:style>
  <w:style w:type="paragraph" w:styleId="afd">
    <w:name w:val="footer"/>
    <w:basedOn w:val="a"/>
    <w:link w:val="1f1"/>
    <w:uiPriority w:val="99"/>
    <w:rsid w:val="00826C7D"/>
    <w:pPr>
      <w:tabs>
        <w:tab w:val="center" w:pos="4677"/>
        <w:tab w:val="right" w:pos="9355"/>
      </w:tabs>
    </w:pPr>
  </w:style>
  <w:style w:type="character" w:customStyle="1" w:styleId="1f1">
    <w:name w:val="Нижний колонтитул Знак1"/>
    <w:basedOn w:val="a0"/>
    <w:link w:val="afd"/>
    <w:uiPriority w:val="99"/>
    <w:semiHidden/>
    <w:locked/>
    <w:rsid w:val="00284999"/>
    <w:rPr>
      <w:rFonts w:cs="Times New Roman"/>
      <w:sz w:val="20"/>
      <w:szCs w:val="20"/>
      <w:lang w:eastAsia="zh-CN"/>
    </w:rPr>
  </w:style>
  <w:style w:type="paragraph" w:styleId="afe">
    <w:name w:val="endnote text"/>
    <w:basedOn w:val="a"/>
    <w:link w:val="1f2"/>
    <w:uiPriority w:val="99"/>
    <w:rsid w:val="00826C7D"/>
  </w:style>
  <w:style w:type="character" w:customStyle="1" w:styleId="1f2">
    <w:name w:val="Текст концевой сноски Знак1"/>
    <w:basedOn w:val="a0"/>
    <w:link w:val="afe"/>
    <w:uiPriority w:val="99"/>
    <w:semiHidden/>
    <w:locked/>
    <w:rsid w:val="00284999"/>
    <w:rPr>
      <w:rFonts w:cs="Times New Roman"/>
      <w:sz w:val="20"/>
      <w:szCs w:val="20"/>
      <w:lang w:eastAsia="zh-CN"/>
    </w:rPr>
  </w:style>
  <w:style w:type="paragraph" w:styleId="aff">
    <w:name w:val="footnote text"/>
    <w:basedOn w:val="a"/>
    <w:link w:val="1f3"/>
    <w:uiPriority w:val="99"/>
    <w:rsid w:val="00826C7D"/>
  </w:style>
  <w:style w:type="character" w:customStyle="1" w:styleId="1f3">
    <w:name w:val="Текст сноски Знак1"/>
    <w:basedOn w:val="a0"/>
    <w:link w:val="aff"/>
    <w:uiPriority w:val="99"/>
    <w:locked/>
    <w:rsid w:val="00284999"/>
    <w:rPr>
      <w:rFonts w:cs="Times New Roman"/>
      <w:sz w:val="20"/>
      <w:szCs w:val="20"/>
      <w:lang w:eastAsia="zh-CN"/>
    </w:rPr>
  </w:style>
  <w:style w:type="paragraph" w:customStyle="1" w:styleId="221">
    <w:name w:val="Основной текст 22"/>
    <w:basedOn w:val="a"/>
    <w:uiPriority w:val="99"/>
    <w:rsid w:val="00826C7D"/>
    <w:pPr>
      <w:spacing w:after="120" w:line="480" w:lineRule="auto"/>
    </w:pPr>
  </w:style>
  <w:style w:type="paragraph" w:customStyle="1" w:styleId="aff0">
    <w:name w:val="Последний абзац"/>
    <w:basedOn w:val="221"/>
    <w:link w:val="aff1"/>
    <w:uiPriority w:val="99"/>
    <w:qFormat/>
    <w:rsid w:val="00826C7D"/>
    <w:pPr>
      <w:widowControl w:val="0"/>
      <w:spacing w:after="0" w:line="360" w:lineRule="auto"/>
      <w:ind w:firstLine="709"/>
      <w:jc w:val="both"/>
    </w:pPr>
    <w:rPr>
      <w:sz w:val="28"/>
      <w:szCs w:val="22"/>
    </w:rPr>
  </w:style>
  <w:style w:type="paragraph" w:customStyle="1" w:styleId="112">
    <w:name w:val="Обычный11"/>
    <w:uiPriority w:val="99"/>
    <w:rsid w:val="00826C7D"/>
    <w:pPr>
      <w:widowControl w:val="0"/>
      <w:suppressAutoHyphens/>
      <w:snapToGrid w:val="0"/>
      <w:spacing w:line="300" w:lineRule="auto"/>
      <w:ind w:firstLine="720"/>
      <w:jc w:val="both"/>
    </w:pPr>
    <w:rPr>
      <w:rFonts w:ascii="Calibri" w:hAnsi="Calibri" w:cs="Calibri"/>
      <w:lang w:eastAsia="zh-CN"/>
    </w:rPr>
  </w:style>
  <w:style w:type="paragraph" w:customStyle="1" w:styleId="52">
    <w:name w:val="Знак5 Знак Знак Знак"/>
    <w:basedOn w:val="a"/>
    <w:uiPriority w:val="99"/>
    <w:rsid w:val="00826C7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odyTextIndent31">
    <w:name w:val="Body Text Indent 31"/>
    <w:basedOn w:val="a"/>
    <w:uiPriority w:val="99"/>
    <w:rsid w:val="00826C7D"/>
    <w:pPr>
      <w:spacing w:line="360" w:lineRule="auto"/>
      <w:ind w:firstLine="709"/>
      <w:jc w:val="both"/>
    </w:pPr>
    <w:rPr>
      <w:sz w:val="28"/>
    </w:rPr>
  </w:style>
  <w:style w:type="paragraph" w:customStyle="1" w:styleId="1f4">
    <w:name w:val="Знак1"/>
    <w:basedOn w:val="a"/>
    <w:uiPriority w:val="99"/>
    <w:rsid w:val="00826C7D"/>
    <w:rPr>
      <w:rFonts w:ascii="Verdana" w:hAnsi="Verdana" w:cs="Verdana"/>
      <w:lang w:val="en-US"/>
    </w:rPr>
  </w:style>
  <w:style w:type="paragraph" w:customStyle="1" w:styleId="1f5">
    <w:name w:val="1"/>
    <w:basedOn w:val="a"/>
    <w:uiPriority w:val="99"/>
    <w:rsid w:val="00826C7D"/>
    <w:pPr>
      <w:spacing w:after="160" w:line="240" w:lineRule="exact"/>
    </w:pPr>
  </w:style>
  <w:style w:type="paragraph" w:customStyle="1" w:styleId="atlp">
    <w:name w:val="atl_p"/>
    <w:basedOn w:val="a"/>
    <w:rsid w:val="00826C7D"/>
    <w:pPr>
      <w:spacing w:before="280" w:after="280"/>
    </w:pPr>
    <w:rPr>
      <w:sz w:val="24"/>
      <w:szCs w:val="24"/>
    </w:rPr>
  </w:style>
  <w:style w:type="paragraph" w:customStyle="1" w:styleId="ConsPlusTitle">
    <w:name w:val="ConsPlusTitle"/>
    <w:uiPriority w:val="99"/>
    <w:rsid w:val="00826C7D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title0">
    <w:name w:val="consplustitle"/>
    <w:basedOn w:val="a"/>
    <w:uiPriority w:val="99"/>
    <w:rsid w:val="00826C7D"/>
    <w:pPr>
      <w:spacing w:before="280" w:after="280"/>
    </w:pPr>
    <w:rPr>
      <w:sz w:val="24"/>
      <w:szCs w:val="24"/>
    </w:rPr>
  </w:style>
  <w:style w:type="paragraph" w:customStyle="1" w:styleId="a00">
    <w:name w:val="a0"/>
    <w:basedOn w:val="a"/>
    <w:uiPriority w:val="99"/>
    <w:rsid w:val="00826C7D"/>
    <w:pPr>
      <w:spacing w:before="280" w:after="280"/>
    </w:pPr>
    <w:rPr>
      <w:sz w:val="24"/>
      <w:szCs w:val="24"/>
    </w:rPr>
  </w:style>
  <w:style w:type="paragraph" w:customStyle="1" w:styleId="aff2">
    <w:name w:val="Содержимое таблицы"/>
    <w:basedOn w:val="a"/>
    <w:uiPriority w:val="99"/>
    <w:rsid w:val="00826C7D"/>
    <w:pPr>
      <w:suppressLineNumbers/>
    </w:pPr>
  </w:style>
  <w:style w:type="paragraph" w:customStyle="1" w:styleId="aff3">
    <w:name w:val="Заголовок таблицы"/>
    <w:basedOn w:val="aff2"/>
    <w:uiPriority w:val="99"/>
    <w:rsid w:val="00826C7D"/>
    <w:pPr>
      <w:jc w:val="center"/>
    </w:pPr>
    <w:rPr>
      <w:b/>
      <w:bCs/>
    </w:rPr>
  </w:style>
  <w:style w:type="paragraph" w:customStyle="1" w:styleId="aff4">
    <w:name w:val="Содержимое врезки"/>
    <w:basedOn w:val="af0"/>
    <w:uiPriority w:val="99"/>
    <w:rsid w:val="00826C7D"/>
  </w:style>
  <w:style w:type="paragraph" w:customStyle="1" w:styleId="230">
    <w:name w:val="Основной текст с отступом 23"/>
    <w:basedOn w:val="a"/>
    <w:uiPriority w:val="99"/>
    <w:rsid w:val="00826C7D"/>
    <w:pPr>
      <w:spacing w:after="120" w:line="480" w:lineRule="auto"/>
      <w:ind w:left="283"/>
    </w:pPr>
  </w:style>
  <w:style w:type="paragraph" w:customStyle="1" w:styleId="321">
    <w:name w:val="Основной текст с отступом 321"/>
    <w:basedOn w:val="a"/>
    <w:uiPriority w:val="99"/>
    <w:rsid w:val="00826C7D"/>
    <w:pPr>
      <w:spacing w:after="120"/>
      <w:ind w:left="283"/>
    </w:pPr>
    <w:rPr>
      <w:sz w:val="16"/>
      <w:szCs w:val="16"/>
    </w:rPr>
  </w:style>
  <w:style w:type="paragraph" w:customStyle="1" w:styleId="240">
    <w:name w:val="Основной текст с отступом 24"/>
    <w:basedOn w:val="a"/>
    <w:uiPriority w:val="99"/>
    <w:rsid w:val="00826C7D"/>
    <w:pPr>
      <w:spacing w:after="120" w:line="480" w:lineRule="auto"/>
      <w:ind w:left="283"/>
    </w:pPr>
  </w:style>
  <w:style w:type="paragraph" w:customStyle="1" w:styleId="250">
    <w:name w:val="Основной текст с отступом 25"/>
    <w:basedOn w:val="a"/>
    <w:uiPriority w:val="99"/>
    <w:rsid w:val="00826C7D"/>
    <w:pPr>
      <w:spacing w:after="120" w:line="480" w:lineRule="auto"/>
      <w:ind w:left="283"/>
    </w:pPr>
  </w:style>
  <w:style w:type="paragraph" w:customStyle="1" w:styleId="231">
    <w:name w:val="Основной текст 23"/>
    <w:basedOn w:val="a"/>
    <w:uiPriority w:val="99"/>
    <w:rsid w:val="00826C7D"/>
    <w:pPr>
      <w:suppressAutoHyphens w:val="0"/>
      <w:spacing w:after="120" w:line="480" w:lineRule="auto"/>
    </w:pPr>
  </w:style>
  <w:style w:type="paragraph" w:customStyle="1" w:styleId="260">
    <w:name w:val="Основной текст с отступом 26"/>
    <w:basedOn w:val="a"/>
    <w:uiPriority w:val="99"/>
    <w:rsid w:val="00826C7D"/>
    <w:pPr>
      <w:spacing w:after="120" w:line="480" w:lineRule="auto"/>
      <w:ind w:left="283"/>
    </w:pPr>
  </w:style>
  <w:style w:type="paragraph" w:customStyle="1" w:styleId="Standard">
    <w:name w:val="Standard"/>
    <w:uiPriority w:val="99"/>
    <w:rsid w:val="000C796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27">
    <w:name w:val="Body Text Indent 2"/>
    <w:basedOn w:val="a"/>
    <w:link w:val="28"/>
    <w:uiPriority w:val="99"/>
    <w:semiHidden/>
    <w:rsid w:val="000E7694"/>
    <w:pPr>
      <w:spacing w:after="120" w:line="480" w:lineRule="auto"/>
      <w:ind w:left="283"/>
    </w:pPr>
    <w:rPr>
      <w:sz w:val="24"/>
    </w:rPr>
  </w:style>
  <w:style w:type="character" w:customStyle="1" w:styleId="28">
    <w:name w:val="Основной текст с отступом 2 Знак"/>
    <w:basedOn w:val="a0"/>
    <w:link w:val="27"/>
    <w:uiPriority w:val="99"/>
    <w:locked/>
    <w:rsid w:val="00284999"/>
    <w:rPr>
      <w:rFonts w:cs="Times New Roman"/>
      <w:sz w:val="20"/>
      <w:szCs w:val="20"/>
      <w:lang w:eastAsia="zh-CN"/>
    </w:rPr>
  </w:style>
  <w:style w:type="character" w:customStyle="1" w:styleId="222">
    <w:name w:val="Основной текст с отступом 2 Знак2"/>
    <w:uiPriority w:val="99"/>
    <w:semiHidden/>
    <w:rsid w:val="000E7694"/>
    <w:rPr>
      <w:lang w:eastAsia="zh-CN"/>
    </w:rPr>
  </w:style>
  <w:style w:type="paragraph" w:styleId="36">
    <w:name w:val="Body Text Indent 3"/>
    <w:basedOn w:val="a"/>
    <w:link w:val="37"/>
    <w:uiPriority w:val="99"/>
    <w:semiHidden/>
    <w:rsid w:val="000E7694"/>
    <w:pPr>
      <w:spacing w:after="120"/>
      <w:ind w:left="283"/>
    </w:pPr>
    <w:rPr>
      <w:sz w:val="24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locked/>
    <w:rsid w:val="00284999"/>
    <w:rPr>
      <w:rFonts w:cs="Times New Roman"/>
      <w:sz w:val="16"/>
      <w:szCs w:val="16"/>
      <w:lang w:eastAsia="zh-CN"/>
    </w:rPr>
  </w:style>
  <w:style w:type="character" w:customStyle="1" w:styleId="311">
    <w:name w:val="Основной текст с отступом 3 Знак1"/>
    <w:uiPriority w:val="99"/>
    <w:semiHidden/>
    <w:rsid w:val="000E7694"/>
    <w:rPr>
      <w:sz w:val="16"/>
      <w:lang w:eastAsia="zh-CN"/>
    </w:rPr>
  </w:style>
  <w:style w:type="paragraph" w:styleId="aff5">
    <w:name w:val="Title"/>
    <w:basedOn w:val="a"/>
    <w:link w:val="aff6"/>
    <w:qFormat/>
    <w:rsid w:val="000E7694"/>
    <w:pPr>
      <w:suppressAutoHyphens w:val="0"/>
      <w:jc w:val="center"/>
    </w:pPr>
    <w:rPr>
      <w:b/>
      <w:sz w:val="24"/>
    </w:rPr>
  </w:style>
  <w:style w:type="character" w:customStyle="1" w:styleId="aff6">
    <w:name w:val="Заголовок Знак"/>
    <w:basedOn w:val="a0"/>
    <w:link w:val="aff5"/>
    <w:locked/>
    <w:rsid w:val="00284999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character" w:customStyle="1" w:styleId="29">
    <w:name w:val="Название Знак2"/>
    <w:uiPriority w:val="99"/>
    <w:rsid w:val="000E7694"/>
    <w:rPr>
      <w:rFonts w:ascii="Cambria" w:hAnsi="Cambria"/>
      <w:b/>
      <w:kern w:val="28"/>
      <w:sz w:val="32"/>
      <w:lang w:eastAsia="zh-CN"/>
    </w:rPr>
  </w:style>
  <w:style w:type="paragraph" w:styleId="2a">
    <w:name w:val="Body Text 2"/>
    <w:basedOn w:val="a"/>
    <w:link w:val="213"/>
    <w:uiPriority w:val="99"/>
    <w:rsid w:val="00453026"/>
    <w:pPr>
      <w:spacing w:after="120" w:line="480" w:lineRule="auto"/>
    </w:pPr>
  </w:style>
  <w:style w:type="character" w:customStyle="1" w:styleId="213">
    <w:name w:val="Основной текст 2 Знак1"/>
    <w:basedOn w:val="a0"/>
    <w:link w:val="2a"/>
    <w:uiPriority w:val="99"/>
    <w:locked/>
    <w:rsid w:val="00453026"/>
    <w:rPr>
      <w:rFonts w:cs="Times New Roman"/>
      <w:lang w:eastAsia="zh-CN"/>
    </w:rPr>
  </w:style>
  <w:style w:type="paragraph" w:customStyle="1" w:styleId="Textbodyindent">
    <w:name w:val="Text body indent"/>
    <w:basedOn w:val="Standard"/>
    <w:uiPriority w:val="99"/>
    <w:rsid w:val="00453026"/>
    <w:pPr>
      <w:widowControl/>
      <w:spacing w:after="120" w:line="276" w:lineRule="auto"/>
      <w:ind w:left="283"/>
    </w:pPr>
    <w:rPr>
      <w:rFonts w:ascii="Calibri" w:hAnsi="Calibri" w:cs="Calibri"/>
      <w:sz w:val="22"/>
      <w:szCs w:val="22"/>
      <w:lang w:val="ru-RU" w:eastAsia="zh-CN" w:bidi="ar-SA"/>
    </w:rPr>
  </w:style>
  <w:style w:type="character" w:customStyle="1" w:styleId="FontStyle11">
    <w:name w:val="Font Style11"/>
    <w:uiPriority w:val="99"/>
    <w:rsid w:val="004F5F5B"/>
    <w:rPr>
      <w:rFonts w:ascii="Times New Roman" w:hAnsi="Times New Roman"/>
      <w:sz w:val="26"/>
    </w:rPr>
  </w:style>
  <w:style w:type="character" w:styleId="aff7">
    <w:name w:val="Hyperlink"/>
    <w:basedOn w:val="a0"/>
    <w:uiPriority w:val="99"/>
    <w:rsid w:val="002A65CC"/>
    <w:rPr>
      <w:rFonts w:cs="Times New Roman"/>
      <w:color w:val="0000FF"/>
      <w:u w:val="single"/>
    </w:rPr>
  </w:style>
  <w:style w:type="paragraph" w:styleId="aff8">
    <w:name w:val="Block Text"/>
    <w:basedOn w:val="a"/>
    <w:rsid w:val="00430614"/>
    <w:pPr>
      <w:widowControl w:val="0"/>
      <w:suppressAutoHyphens w:val="0"/>
      <w:spacing w:before="120" w:line="320" w:lineRule="exact"/>
      <w:ind w:left="1540" w:right="1500"/>
      <w:jc w:val="center"/>
    </w:pPr>
    <w:rPr>
      <w:sz w:val="28"/>
      <w:lang w:eastAsia="ru-RU"/>
    </w:rPr>
  </w:style>
  <w:style w:type="paragraph" w:styleId="aff9">
    <w:name w:val="Balloon Text"/>
    <w:basedOn w:val="a"/>
    <w:link w:val="affa"/>
    <w:uiPriority w:val="99"/>
    <w:semiHidden/>
    <w:rsid w:val="001A587D"/>
    <w:rPr>
      <w:rFonts w:ascii="Segoe UI" w:hAnsi="Segoe UI"/>
      <w:sz w:val="18"/>
      <w:szCs w:val="18"/>
    </w:rPr>
  </w:style>
  <w:style w:type="character" w:customStyle="1" w:styleId="affa">
    <w:name w:val="Текст выноски Знак"/>
    <w:basedOn w:val="a0"/>
    <w:link w:val="aff9"/>
    <w:uiPriority w:val="99"/>
    <w:semiHidden/>
    <w:locked/>
    <w:rsid w:val="001A587D"/>
    <w:rPr>
      <w:rFonts w:ascii="Segoe UI" w:hAnsi="Segoe UI" w:cs="Times New Roman"/>
      <w:sz w:val="18"/>
      <w:lang w:eastAsia="zh-CN"/>
    </w:rPr>
  </w:style>
  <w:style w:type="character" w:customStyle="1" w:styleId="aff1">
    <w:name w:val="Последний абзац Знак"/>
    <w:basedOn w:val="a0"/>
    <w:link w:val="aff0"/>
    <w:uiPriority w:val="99"/>
    <w:locked/>
    <w:rsid w:val="0093504D"/>
    <w:rPr>
      <w:rFonts w:eastAsia="Times New Roman" w:cs="Times New Roman"/>
      <w:sz w:val="22"/>
      <w:szCs w:val="22"/>
      <w:lang w:eastAsia="zh-CN"/>
    </w:rPr>
  </w:style>
  <w:style w:type="character" w:customStyle="1" w:styleId="1e">
    <w:name w:val="Без интервала Знак1"/>
    <w:basedOn w:val="a0"/>
    <w:link w:val="af8"/>
    <w:uiPriority w:val="99"/>
    <w:locked/>
    <w:rsid w:val="00345BF3"/>
    <w:rPr>
      <w:rFonts w:ascii="Calibri" w:hAnsi="Calibri" w:cs="Calibri"/>
      <w:sz w:val="22"/>
      <w:szCs w:val="22"/>
      <w:lang w:val="ru-RU" w:eastAsia="zh-CN" w:bidi="ar-SA"/>
    </w:rPr>
  </w:style>
  <w:style w:type="paragraph" w:customStyle="1" w:styleId="2b">
    <w:name w:val="Без интервала2"/>
    <w:uiPriority w:val="99"/>
    <w:rsid w:val="00345BF3"/>
    <w:pPr>
      <w:suppressAutoHyphens/>
    </w:pPr>
    <w:rPr>
      <w:rFonts w:ascii="Calibri" w:hAnsi="Calibri" w:cs="Calibri"/>
      <w:lang w:eastAsia="ar-SA"/>
    </w:rPr>
  </w:style>
  <w:style w:type="paragraph" w:customStyle="1" w:styleId="Default">
    <w:name w:val="Default"/>
    <w:uiPriority w:val="99"/>
    <w:rsid w:val="00345B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8">
    <w:name w:val="Без интервала3"/>
    <w:link w:val="NoSpacingChar"/>
    <w:uiPriority w:val="99"/>
    <w:rsid w:val="00C16FFD"/>
    <w:pPr>
      <w:suppressAutoHyphens/>
    </w:pPr>
    <w:rPr>
      <w:rFonts w:ascii="Calibri" w:hAnsi="Calibri" w:cs="Calibri"/>
      <w:lang w:eastAsia="zh-CN"/>
    </w:rPr>
  </w:style>
  <w:style w:type="character" w:customStyle="1" w:styleId="NoSpacingChar">
    <w:name w:val="No Spacing Char"/>
    <w:basedOn w:val="a0"/>
    <w:link w:val="38"/>
    <w:uiPriority w:val="99"/>
    <w:locked/>
    <w:rsid w:val="00C16FFD"/>
    <w:rPr>
      <w:rFonts w:ascii="Calibri" w:hAnsi="Calibri" w:cs="Calibri"/>
      <w:sz w:val="22"/>
      <w:szCs w:val="22"/>
      <w:lang w:val="ru-RU" w:eastAsia="zh-CN" w:bidi="ar-SA"/>
    </w:rPr>
  </w:style>
  <w:style w:type="character" w:customStyle="1" w:styleId="afc">
    <w:name w:val="Абзац списка Знак"/>
    <w:aliases w:val="Абзац списка основной Знак"/>
    <w:link w:val="afb"/>
    <w:locked/>
    <w:rsid w:val="00F6055C"/>
    <w:rPr>
      <w:sz w:val="24"/>
      <w:lang w:eastAsia="zh-CN"/>
    </w:rPr>
  </w:style>
  <w:style w:type="character" w:styleId="affb">
    <w:name w:val="footnote reference"/>
    <w:basedOn w:val="a0"/>
    <w:uiPriority w:val="99"/>
    <w:semiHidden/>
    <w:locked/>
    <w:rsid w:val="00CC71EF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E64BF7"/>
  </w:style>
  <w:style w:type="character" w:styleId="affc">
    <w:name w:val="Emphasis"/>
    <w:basedOn w:val="a0"/>
    <w:uiPriority w:val="20"/>
    <w:qFormat/>
    <w:rsid w:val="008A331D"/>
    <w:rPr>
      <w:rFonts w:cs="Times New Roman"/>
      <w:i/>
      <w:iCs/>
    </w:rPr>
  </w:style>
  <w:style w:type="paragraph" w:customStyle="1" w:styleId="1f6">
    <w:name w:val="Абзац списка1"/>
    <w:basedOn w:val="a"/>
    <w:rsid w:val="00A65FD4"/>
    <w:pPr>
      <w:spacing w:after="200" w:line="276" w:lineRule="auto"/>
      <w:ind w:left="720"/>
      <w:jc w:val="both"/>
    </w:pPr>
    <w:rPr>
      <w:rFonts w:eastAsia="Calibri"/>
      <w:sz w:val="28"/>
      <w:lang w:val="en-US"/>
    </w:rPr>
  </w:style>
  <w:style w:type="paragraph" w:customStyle="1" w:styleId="46">
    <w:name w:val="Без интервала4"/>
    <w:rsid w:val="00CF18D0"/>
    <w:rPr>
      <w:rFonts w:ascii="Calibri" w:hAnsi="Calibri"/>
    </w:rPr>
  </w:style>
  <w:style w:type="paragraph" w:customStyle="1" w:styleId="53">
    <w:name w:val="Без интервала5"/>
    <w:rsid w:val="00CF18D0"/>
    <w:rPr>
      <w:rFonts w:ascii="Calibri" w:hAnsi="Calibri"/>
    </w:rPr>
  </w:style>
  <w:style w:type="paragraph" w:customStyle="1" w:styleId="62">
    <w:name w:val="Без интервала6"/>
    <w:rsid w:val="00CF18D0"/>
    <w:rPr>
      <w:rFonts w:ascii="Calibri" w:hAnsi="Calibri"/>
    </w:rPr>
  </w:style>
  <w:style w:type="paragraph" w:customStyle="1" w:styleId="75">
    <w:name w:val="Без интервала7"/>
    <w:rsid w:val="000A2FD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187ED6C563EB4AE197AC0C307BBACCA824C52BCB797EDEABC5B217ACC53CDFC4FA9110F3445C61BE37897FJ6WA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isclosure.skrin.ru/disclosure/6320002223/?DTI=8" TargetMode="External"/><Relationship Id="rId2" Type="http://schemas.openxmlformats.org/officeDocument/2006/relationships/hyperlink" Target="http://www.e-disclosure.ru/portal/files.aspx?id=23343&amp;type=5" TargetMode="External"/><Relationship Id="rId1" Type="http://schemas.openxmlformats.org/officeDocument/2006/relationships/hyperlink" Target="https://www.kuazot.ru/invest/ras_reporting/" TargetMode="External"/><Relationship Id="rId4" Type="http://schemas.openxmlformats.org/officeDocument/2006/relationships/hyperlink" Target="https://www.nalog.ru/rn77/related_activities/statistics_and_analytics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8E6B0-592F-4CF5-B85D-E53E8A86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22062</Words>
  <Characters>125758</Characters>
  <Application>Microsoft Office Word</Application>
  <DocSecurity>0</DocSecurity>
  <Lines>1047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итоги</vt:lpstr>
    </vt:vector>
  </TitlesOfParts>
  <Company>Мэрия городского округа Тольятти</Company>
  <LinksUpToDate>false</LinksUpToDate>
  <CharactersWithSpaces>147525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итоги</dc:title>
  <dc:creator>Пользователь</dc:creator>
  <cp:lastModifiedBy>Кончева Наталья Валериевна</cp:lastModifiedBy>
  <cp:revision>3</cp:revision>
  <cp:lastPrinted>2019-10-25T09:16:00Z</cp:lastPrinted>
  <dcterms:created xsi:type="dcterms:W3CDTF">2019-11-12T04:37:00Z</dcterms:created>
  <dcterms:modified xsi:type="dcterms:W3CDTF">2019-11-12T04:42:00Z</dcterms:modified>
</cp:coreProperties>
</file>