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BA4" w:rsidRPr="008253D3" w:rsidRDefault="00A50BA4" w:rsidP="002C47EC">
      <w:pPr>
        <w:tabs>
          <w:tab w:val="left" w:pos="1560"/>
        </w:tabs>
        <w:spacing w:line="276" w:lineRule="auto"/>
        <w:ind w:firstLine="0"/>
        <w:jc w:val="center"/>
        <w:rPr>
          <w:b/>
          <w:sz w:val="28"/>
          <w:szCs w:val="28"/>
          <w:shd w:val="clear" w:color="auto" w:fill="FFFF00"/>
        </w:rPr>
      </w:pPr>
      <w:r w:rsidRPr="008253D3">
        <w:rPr>
          <w:b/>
          <w:sz w:val="28"/>
          <w:szCs w:val="28"/>
        </w:rPr>
        <w:t>Предварительные итоги</w:t>
      </w:r>
      <w:r w:rsidR="0090607E" w:rsidRPr="008253D3">
        <w:rPr>
          <w:b/>
          <w:sz w:val="28"/>
          <w:szCs w:val="28"/>
        </w:rPr>
        <w:t xml:space="preserve"> </w:t>
      </w:r>
      <w:r w:rsidRPr="008253D3">
        <w:rPr>
          <w:b/>
          <w:sz w:val="28"/>
          <w:szCs w:val="28"/>
        </w:rPr>
        <w:t>социально–экономического развития</w:t>
      </w:r>
      <w:r w:rsidR="001F6122" w:rsidRPr="008253D3">
        <w:rPr>
          <w:b/>
          <w:sz w:val="28"/>
          <w:szCs w:val="28"/>
        </w:rPr>
        <w:t xml:space="preserve"> городского округа Тольятти за </w:t>
      </w:r>
      <w:r w:rsidR="0046250A">
        <w:rPr>
          <w:b/>
          <w:sz w:val="28"/>
          <w:szCs w:val="28"/>
          <w:lang w:val="en-US"/>
        </w:rPr>
        <w:t>I</w:t>
      </w:r>
      <w:r w:rsidR="00A55BAC" w:rsidRPr="008253D3">
        <w:rPr>
          <w:b/>
          <w:sz w:val="28"/>
          <w:szCs w:val="28"/>
        </w:rPr>
        <w:t xml:space="preserve"> полугодие</w:t>
      </w:r>
      <w:r w:rsidRPr="008253D3">
        <w:rPr>
          <w:b/>
          <w:sz w:val="28"/>
          <w:szCs w:val="28"/>
        </w:rPr>
        <w:t xml:space="preserve"> 20</w:t>
      </w:r>
      <w:r w:rsidR="000C5517" w:rsidRPr="008253D3">
        <w:rPr>
          <w:b/>
          <w:sz w:val="28"/>
          <w:szCs w:val="28"/>
        </w:rPr>
        <w:t>2</w:t>
      </w:r>
      <w:r w:rsidR="00890AA8">
        <w:rPr>
          <w:b/>
          <w:sz w:val="28"/>
          <w:szCs w:val="28"/>
        </w:rPr>
        <w:t>2</w:t>
      </w:r>
      <w:r w:rsidRPr="008253D3">
        <w:rPr>
          <w:b/>
          <w:sz w:val="28"/>
          <w:szCs w:val="28"/>
        </w:rPr>
        <w:t xml:space="preserve"> года и ожидаемые итоги социально–экономического развития городского округа Тольятти за 20</w:t>
      </w:r>
      <w:r w:rsidR="000C5517" w:rsidRPr="008253D3">
        <w:rPr>
          <w:b/>
          <w:sz w:val="28"/>
          <w:szCs w:val="28"/>
        </w:rPr>
        <w:t>2</w:t>
      </w:r>
      <w:r w:rsidR="00890AA8">
        <w:rPr>
          <w:b/>
          <w:sz w:val="28"/>
          <w:szCs w:val="28"/>
        </w:rPr>
        <w:t>2</w:t>
      </w:r>
      <w:r w:rsidRPr="008253D3">
        <w:rPr>
          <w:b/>
          <w:sz w:val="28"/>
          <w:szCs w:val="28"/>
        </w:rPr>
        <w:t xml:space="preserve"> год</w:t>
      </w:r>
    </w:p>
    <w:p w:rsidR="00A50BA4" w:rsidRPr="008253D3" w:rsidRDefault="00A50BA4" w:rsidP="00443EE9">
      <w:pPr>
        <w:spacing w:line="276" w:lineRule="auto"/>
        <w:jc w:val="center"/>
        <w:rPr>
          <w:b/>
          <w:sz w:val="28"/>
          <w:szCs w:val="28"/>
          <w:shd w:val="clear" w:color="auto" w:fill="FFFF00"/>
        </w:rPr>
      </w:pPr>
    </w:p>
    <w:p w:rsidR="003C315F" w:rsidRPr="00DC2331" w:rsidRDefault="003C315F" w:rsidP="00BA753B">
      <w:pPr>
        <w:widowControl w:val="0"/>
        <w:numPr>
          <w:ilvl w:val="0"/>
          <w:numId w:val="5"/>
        </w:numPr>
        <w:spacing w:line="276" w:lineRule="auto"/>
        <w:ind w:left="0" w:firstLine="709"/>
        <w:contextualSpacing/>
        <w:rPr>
          <w:bCs/>
          <w:spacing w:val="2"/>
          <w:sz w:val="28"/>
          <w:szCs w:val="28"/>
          <w:lang w:eastAsia="ar-SA"/>
        </w:rPr>
      </w:pPr>
      <w:r w:rsidRPr="00DC2331">
        <w:rPr>
          <w:bCs/>
          <w:spacing w:val="2"/>
          <w:sz w:val="28"/>
          <w:szCs w:val="28"/>
          <w:lang w:eastAsia="ar-SA"/>
        </w:rPr>
        <w:t>В текущем году</w:t>
      </w:r>
      <w:r w:rsidR="00461B75" w:rsidRPr="00DC2331">
        <w:rPr>
          <w:bCs/>
          <w:spacing w:val="2"/>
          <w:sz w:val="28"/>
          <w:szCs w:val="28"/>
          <w:lang w:eastAsia="ar-SA"/>
        </w:rPr>
        <w:t xml:space="preserve"> </w:t>
      </w:r>
      <w:r w:rsidR="00597AEF" w:rsidRPr="00DC2331">
        <w:rPr>
          <w:bCs/>
          <w:spacing w:val="2"/>
          <w:sz w:val="28"/>
          <w:szCs w:val="28"/>
          <w:lang w:eastAsia="ar-SA"/>
        </w:rPr>
        <w:t xml:space="preserve">существенно изменились </w:t>
      </w:r>
      <w:r w:rsidR="00461B75" w:rsidRPr="00DC2331">
        <w:rPr>
          <w:bCs/>
          <w:spacing w:val="2"/>
          <w:sz w:val="28"/>
          <w:szCs w:val="28"/>
          <w:lang w:eastAsia="ar-SA"/>
        </w:rPr>
        <w:t>условия функционирования экономики Российской Федерации</w:t>
      </w:r>
      <w:r w:rsidRPr="00DC2331">
        <w:rPr>
          <w:bCs/>
          <w:spacing w:val="2"/>
          <w:sz w:val="28"/>
          <w:szCs w:val="28"/>
          <w:lang w:eastAsia="ar-SA"/>
        </w:rPr>
        <w:t xml:space="preserve">. </w:t>
      </w:r>
      <w:r w:rsidR="00DC2331" w:rsidRPr="00DC2331">
        <w:rPr>
          <w:sz w:val="28"/>
          <w:szCs w:val="28"/>
          <w:lang w:eastAsia="ru-RU"/>
        </w:rPr>
        <w:t>Экономические санкции</w:t>
      </w:r>
      <w:r w:rsidR="00B210F7">
        <w:rPr>
          <w:sz w:val="28"/>
          <w:szCs w:val="28"/>
          <w:lang w:eastAsia="ru-RU"/>
        </w:rPr>
        <w:t xml:space="preserve"> </w:t>
      </w:r>
      <w:r w:rsidR="00975715" w:rsidRPr="00DC2331">
        <w:rPr>
          <w:sz w:val="28"/>
          <w:szCs w:val="28"/>
          <w:lang w:eastAsia="ru-RU"/>
        </w:rPr>
        <w:t>привел</w:t>
      </w:r>
      <w:r w:rsidR="00DC2331" w:rsidRPr="00DC2331">
        <w:rPr>
          <w:sz w:val="28"/>
          <w:szCs w:val="28"/>
          <w:lang w:eastAsia="ru-RU"/>
        </w:rPr>
        <w:t>и</w:t>
      </w:r>
      <w:r w:rsidR="00975715" w:rsidRPr="00DC2331">
        <w:rPr>
          <w:sz w:val="28"/>
          <w:szCs w:val="28"/>
          <w:lang w:eastAsia="ru-RU"/>
        </w:rPr>
        <w:t xml:space="preserve"> к разрыву производственно-логистических цепочек, существенному снижению импорта</w:t>
      </w:r>
      <w:r w:rsidR="00FE2249" w:rsidRPr="00DC2331">
        <w:rPr>
          <w:sz w:val="28"/>
          <w:szCs w:val="28"/>
          <w:lang w:eastAsia="ru-RU"/>
        </w:rPr>
        <w:t xml:space="preserve"> и</w:t>
      </w:r>
      <w:r w:rsidR="00975715" w:rsidRPr="00DC2331">
        <w:rPr>
          <w:sz w:val="28"/>
          <w:szCs w:val="28"/>
          <w:lang w:eastAsia="ru-RU"/>
        </w:rPr>
        <w:t xml:space="preserve"> ускорению инфляции.</w:t>
      </w:r>
      <w:r w:rsidR="00DC2331">
        <w:rPr>
          <w:sz w:val="28"/>
          <w:szCs w:val="28"/>
          <w:lang w:eastAsia="ru-RU"/>
        </w:rPr>
        <w:t xml:space="preserve"> </w:t>
      </w:r>
      <w:r w:rsidRPr="00DC2331">
        <w:rPr>
          <w:rFonts w:eastAsia="Calibri"/>
          <w:sz w:val="28"/>
          <w:szCs w:val="28"/>
          <w:lang w:eastAsia="ar-SA"/>
        </w:rPr>
        <w:t>В этих условиях была временно приостановлена работа ряда предприятий</w:t>
      </w:r>
      <w:r w:rsidR="00363DFD">
        <w:rPr>
          <w:rFonts w:eastAsia="Calibri"/>
          <w:sz w:val="28"/>
          <w:szCs w:val="28"/>
          <w:lang w:eastAsia="ar-SA"/>
        </w:rPr>
        <w:t xml:space="preserve"> городского округа Тольятти</w:t>
      </w:r>
      <w:r w:rsidRPr="00335B46">
        <w:rPr>
          <w:sz w:val="28"/>
          <w:szCs w:val="28"/>
          <w:lang w:eastAsia="ru-RU"/>
        </w:rPr>
        <w:t>.</w:t>
      </w:r>
      <w:r w:rsidR="00B57C57">
        <w:rPr>
          <w:sz w:val="28"/>
          <w:szCs w:val="28"/>
          <w:lang w:eastAsia="ru-RU"/>
        </w:rPr>
        <w:t xml:space="preserve"> </w:t>
      </w:r>
    </w:p>
    <w:p w:rsidR="003C30A6" w:rsidRPr="00363DFD" w:rsidRDefault="00335B46" w:rsidP="00BA753B">
      <w:pPr>
        <w:widowControl w:val="0"/>
        <w:numPr>
          <w:ilvl w:val="0"/>
          <w:numId w:val="5"/>
        </w:numPr>
        <w:spacing w:line="276" w:lineRule="auto"/>
        <w:ind w:left="0" w:firstLine="709"/>
        <w:contextualSpacing/>
        <w:rPr>
          <w:sz w:val="28"/>
          <w:szCs w:val="28"/>
        </w:rPr>
      </w:pPr>
      <w:r w:rsidRPr="00363DFD">
        <w:rPr>
          <w:sz w:val="28"/>
          <w:szCs w:val="28"/>
          <w:lang w:eastAsia="ru-RU"/>
        </w:rPr>
        <w:t xml:space="preserve">В </w:t>
      </w:r>
      <w:r w:rsidR="00363DFD" w:rsidRPr="00363DFD">
        <w:rPr>
          <w:sz w:val="28"/>
          <w:szCs w:val="28"/>
          <w:lang w:eastAsia="ru-RU"/>
        </w:rPr>
        <w:t xml:space="preserve">результате, в </w:t>
      </w:r>
      <w:r w:rsidR="00D10EC9">
        <w:rPr>
          <w:sz w:val="28"/>
          <w:szCs w:val="28"/>
          <w:lang w:val="en-US" w:eastAsia="ru-RU"/>
        </w:rPr>
        <w:t>I</w:t>
      </w:r>
      <w:r w:rsidRPr="00363DFD">
        <w:rPr>
          <w:sz w:val="28"/>
          <w:szCs w:val="28"/>
          <w:lang w:eastAsia="ru-RU"/>
        </w:rPr>
        <w:t xml:space="preserve"> полугодии 2022 года значительно снизилось промышленное производство. В отрицательную зону также перешли показатели </w:t>
      </w:r>
      <w:r w:rsidR="00B210F7" w:rsidRPr="00363DFD">
        <w:rPr>
          <w:sz w:val="28"/>
          <w:szCs w:val="28"/>
          <w:lang w:eastAsia="ru-RU"/>
        </w:rPr>
        <w:t>транспорт</w:t>
      </w:r>
      <w:r w:rsidR="00B210F7">
        <w:rPr>
          <w:sz w:val="28"/>
          <w:szCs w:val="28"/>
          <w:lang w:eastAsia="ru-RU"/>
        </w:rPr>
        <w:t>ной деятельности</w:t>
      </w:r>
      <w:r w:rsidR="00B210F7" w:rsidRPr="00363DFD">
        <w:rPr>
          <w:sz w:val="28"/>
          <w:szCs w:val="28"/>
          <w:lang w:eastAsia="ru-RU"/>
        </w:rPr>
        <w:t>, торговли</w:t>
      </w:r>
      <w:r w:rsidR="00B210F7">
        <w:rPr>
          <w:sz w:val="28"/>
          <w:szCs w:val="28"/>
          <w:lang w:eastAsia="ru-RU"/>
        </w:rPr>
        <w:t>,</w:t>
      </w:r>
      <w:r w:rsidR="00B210F7" w:rsidRPr="00363DFD">
        <w:rPr>
          <w:sz w:val="28"/>
          <w:szCs w:val="28"/>
          <w:lang w:eastAsia="ru-RU"/>
        </w:rPr>
        <w:t xml:space="preserve"> </w:t>
      </w:r>
      <w:r w:rsidRPr="00363DFD">
        <w:rPr>
          <w:sz w:val="28"/>
          <w:szCs w:val="28"/>
          <w:lang w:eastAsia="ru-RU"/>
        </w:rPr>
        <w:t>жилищного строительства. В условиях высокого уровня неопределенности и инвестиционных рисков усилилась общая экономическая неуверенность инвесторов, что, в свою очередь, привело к снижению объемов инвестиций в основной капитал. На фоне повышенной инфляции и неполной занятости работников наблюда</w:t>
      </w:r>
      <w:r w:rsidR="00B210F7">
        <w:rPr>
          <w:sz w:val="28"/>
          <w:szCs w:val="28"/>
          <w:lang w:eastAsia="ru-RU"/>
        </w:rPr>
        <w:t>лось</w:t>
      </w:r>
      <w:r w:rsidRPr="00363DFD">
        <w:rPr>
          <w:sz w:val="28"/>
          <w:szCs w:val="28"/>
          <w:lang w:eastAsia="ru-RU"/>
        </w:rPr>
        <w:t xml:space="preserve"> </w:t>
      </w:r>
      <w:r w:rsidR="00251B5A">
        <w:rPr>
          <w:sz w:val="28"/>
          <w:szCs w:val="28"/>
          <w:lang w:eastAsia="ru-RU"/>
        </w:rPr>
        <w:t>снижение реальн</w:t>
      </w:r>
      <w:r w:rsidR="008C1024">
        <w:rPr>
          <w:sz w:val="28"/>
          <w:szCs w:val="28"/>
          <w:lang w:eastAsia="ru-RU"/>
        </w:rPr>
        <w:t>ой заработной платы работников</w:t>
      </w:r>
      <w:r w:rsidRPr="00363DFD">
        <w:rPr>
          <w:sz w:val="28"/>
          <w:szCs w:val="28"/>
          <w:lang w:eastAsia="ru-RU"/>
        </w:rPr>
        <w:t>.</w:t>
      </w:r>
      <w:r w:rsidR="00363DFD">
        <w:rPr>
          <w:sz w:val="28"/>
          <w:szCs w:val="28"/>
          <w:lang w:eastAsia="ru-RU"/>
        </w:rPr>
        <w:t xml:space="preserve"> </w:t>
      </w:r>
      <w:r w:rsidRPr="00363DFD">
        <w:rPr>
          <w:sz w:val="28"/>
          <w:szCs w:val="28"/>
          <w:lang w:eastAsia="ru-RU"/>
        </w:rPr>
        <w:t>Вместе с тем ситуация на рынке труда</w:t>
      </w:r>
      <w:r w:rsidR="00597AEF">
        <w:rPr>
          <w:sz w:val="28"/>
          <w:szCs w:val="28"/>
          <w:lang w:eastAsia="ru-RU"/>
        </w:rPr>
        <w:t xml:space="preserve"> </w:t>
      </w:r>
      <w:r w:rsidR="00597AEF" w:rsidRPr="00363DFD">
        <w:rPr>
          <w:sz w:val="28"/>
          <w:szCs w:val="28"/>
          <w:lang w:eastAsia="ru-RU"/>
        </w:rPr>
        <w:t>оста</w:t>
      </w:r>
      <w:r w:rsidR="00597AEF">
        <w:rPr>
          <w:sz w:val="28"/>
          <w:szCs w:val="28"/>
          <w:lang w:eastAsia="ru-RU"/>
        </w:rPr>
        <w:t>лась</w:t>
      </w:r>
      <w:r w:rsidR="00597AEF" w:rsidRPr="00363DFD">
        <w:rPr>
          <w:sz w:val="28"/>
          <w:szCs w:val="28"/>
          <w:lang w:eastAsia="ru-RU"/>
        </w:rPr>
        <w:t xml:space="preserve"> </w:t>
      </w:r>
      <w:r w:rsidR="00767B4E">
        <w:rPr>
          <w:sz w:val="28"/>
          <w:szCs w:val="28"/>
          <w:lang w:eastAsia="ru-RU"/>
        </w:rPr>
        <w:t>стабильной</w:t>
      </w:r>
      <w:r w:rsidR="00B57C57">
        <w:rPr>
          <w:sz w:val="28"/>
          <w:szCs w:val="28"/>
          <w:lang w:eastAsia="ru-RU"/>
        </w:rPr>
        <w:t xml:space="preserve">: массовых высвобождений </w:t>
      </w:r>
      <w:r w:rsidR="00B72F07">
        <w:rPr>
          <w:sz w:val="28"/>
          <w:szCs w:val="28"/>
          <w:lang w:eastAsia="ru-RU"/>
        </w:rPr>
        <w:t xml:space="preserve">работников </w:t>
      </w:r>
      <w:r w:rsidR="0061358A">
        <w:rPr>
          <w:sz w:val="28"/>
          <w:szCs w:val="28"/>
          <w:lang w:eastAsia="ru-RU"/>
        </w:rPr>
        <w:t>и существ</w:t>
      </w:r>
      <w:r w:rsidR="000F6EE0">
        <w:rPr>
          <w:sz w:val="28"/>
          <w:szCs w:val="28"/>
          <w:lang w:eastAsia="ru-RU"/>
        </w:rPr>
        <w:t xml:space="preserve">енного роста безработицы в городском округе Тольятти </w:t>
      </w:r>
      <w:r w:rsidR="00B57C57">
        <w:rPr>
          <w:sz w:val="28"/>
          <w:szCs w:val="28"/>
          <w:lang w:eastAsia="ru-RU"/>
        </w:rPr>
        <w:t xml:space="preserve">не </w:t>
      </w:r>
      <w:r w:rsidR="000F6EE0">
        <w:rPr>
          <w:sz w:val="28"/>
          <w:szCs w:val="28"/>
          <w:lang w:eastAsia="ru-RU"/>
        </w:rPr>
        <w:t>наблюдается</w:t>
      </w:r>
      <w:r w:rsidRPr="00363DFD">
        <w:rPr>
          <w:sz w:val="28"/>
          <w:szCs w:val="28"/>
          <w:lang w:eastAsia="ru-RU"/>
        </w:rPr>
        <w:t xml:space="preserve">. </w:t>
      </w:r>
    </w:p>
    <w:p w:rsidR="00FE2249" w:rsidRDefault="00961AC6" w:rsidP="00BA753B">
      <w:pPr>
        <w:widowControl w:val="0"/>
        <w:numPr>
          <w:ilvl w:val="0"/>
          <w:numId w:val="5"/>
        </w:numPr>
        <w:spacing w:line="276" w:lineRule="auto"/>
        <w:ind w:left="0" w:firstLine="709"/>
        <w:contextualSpacing/>
        <w:rPr>
          <w:sz w:val="28"/>
          <w:szCs w:val="28"/>
        </w:rPr>
      </w:pPr>
      <w:r w:rsidRPr="00335B46">
        <w:rPr>
          <w:sz w:val="28"/>
          <w:szCs w:val="28"/>
        </w:rPr>
        <w:t xml:space="preserve">В рейтинге городских округов Самарской области, опубликованном </w:t>
      </w:r>
      <w:r w:rsidR="003F4B7B" w:rsidRPr="00335B46">
        <w:rPr>
          <w:sz w:val="28"/>
          <w:szCs w:val="28"/>
        </w:rPr>
        <w:t>м</w:t>
      </w:r>
      <w:r w:rsidRPr="00335B46">
        <w:rPr>
          <w:sz w:val="28"/>
          <w:szCs w:val="28"/>
        </w:rPr>
        <w:t>инистерством экономического развития и инвестиций Самарской области</w:t>
      </w:r>
      <w:r w:rsidRPr="003A744D">
        <w:rPr>
          <w:sz w:val="28"/>
          <w:szCs w:val="28"/>
          <w:vertAlign w:val="superscript"/>
        </w:rPr>
        <w:footnoteReference w:id="1"/>
      </w:r>
      <w:r w:rsidRPr="00335B46">
        <w:rPr>
          <w:sz w:val="28"/>
          <w:szCs w:val="28"/>
        </w:rPr>
        <w:t xml:space="preserve">, </w:t>
      </w:r>
      <w:r w:rsidR="00363DFD" w:rsidRPr="00335B46">
        <w:rPr>
          <w:sz w:val="28"/>
          <w:szCs w:val="28"/>
        </w:rPr>
        <w:t xml:space="preserve">по итогам </w:t>
      </w:r>
      <w:r w:rsidR="00D10EC9">
        <w:rPr>
          <w:sz w:val="28"/>
          <w:szCs w:val="28"/>
          <w:lang w:val="en-US"/>
        </w:rPr>
        <w:t>I</w:t>
      </w:r>
      <w:r w:rsidR="00363DFD" w:rsidRPr="00335B46">
        <w:rPr>
          <w:sz w:val="28"/>
          <w:szCs w:val="28"/>
        </w:rPr>
        <w:t xml:space="preserve"> полугодия 2022 года </w:t>
      </w:r>
      <w:r w:rsidRPr="00335B46">
        <w:rPr>
          <w:sz w:val="28"/>
          <w:szCs w:val="28"/>
        </w:rPr>
        <w:t>городской округ Тольятти</w:t>
      </w:r>
      <w:r w:rsidR="003A744D" w:rsidRPr="00335B46">
        <w:rPr>
          <w:sz w:val="28"/>
          <w:szCs w:val="28"/>
        </w:rPr>
        <w:t>, как и за 2</w:t>
      </w:r>
      <w:r w:rsidR="00FE2249" w:rsidRPr="00335B46">
        <w:rPr>
          <w:sz w:val="28"/>
          <w:szCs w:val="28"/>
        </w:rPr>
        <w:t>0</w:t>
      </w:r>
      <w:r w:rsidR="003A744D" w:rsidRPr="00335B46">
        <w:rPr>
          <w:sz w:val="28"/>
          <w:szCs w:val="28"/>
        </w:rPr>
        <w:t>21 год,</w:t>
      </w:r>
      <w:r w:rsidRPr="00335B46">
        <w:rPr>
          <w:sz w:val="28"/>
          <w:szCs w:val="28"/>
        </w:rPr>
        <w:t xml:space="preserve"> занял третье место из десяти</w:t>
      </w:r>
      <w:r w:rsidR="00363DFD">
        <w:rPr>
          <w:sz w:val="28"/>
          <w:szCs w:val="28"/>
        </w:rPr>
        <w:t xml:space="preserve"> </w:t>
      </w:r>
      <w:r w:rsidR="00363DFD" w:rsidRPr="00335B46">
        <w:rPr>
          <w:sz w:val="28"/>
          <w:szCs w:val="28"/>
        </w:rPr>
        <w:t>по основным социально-экономическим показателям</w:t>
      </w:r>
      <w:r w:rsidR="00597AEF">
        <w:rPr>
          <w:sz w:val="28"/>
          <w:szCs w:val="28"/>
        </w:rPr>
        <w:t xml:space="preserve"> (подробнее по показателям рейтинга в следующих разделах)</w:t>
      </w:r>
      <w:r w:rsidRPr="00335B46">
        <w:rPr>
          <w:sz w:val="28"/>
          <w:szCs w:val="28"/>
        </w:rPr>
        <w:t>.</w:t>
      </w:r>
      <w:r w:rsidR="00607F00" w:rsidRPr="00335B46">
        <w:rPr>
          <w:sz w:val="28"/>
          <w:szCs w:val="28"/>
        </w:rPr>
        <w:t xml:space="preserve"> </w:t>
      </w:r>
    </w:p>
    <w:p w:rsidR="00210B81" w:rsidRPr="00363DFD" w:rsidRDefault="00363DFD" w:rsidP="00BA753B">
      <w:pPr>
        <w:pStyle w:val="afb"/>
        <w:widowControl w:val="0"/>
        <w:numPr>
          <w:ilvl w:val="0"/>
          <w:numId w:val="5"/>
        </w:numPr>
        <w:tabs>
          <w:tab w:val="left" w:pos="8208"/>
        </w:tabs>
        <w:spacing w:line="276" w:lineRule="auto"/>
        <w:ind w:left="0" w:firstLine="709"/>
        <w:contextualSpacing/>
        <w:rPr>
          <w:sz w:val="28"/>
          <w:szCs w:val="28"/>
          <w:lang w:eastAsia="ru-RU"/>
        </w:rPr>
      </w:pPr>
      <w:r>
        <w:rPr>
          <w:sz w:val="28"/>
          <w:szCs w:val="28"/>
        </w:rPr>
        <w:t>По итогам 2022 года, с учетом</w:t>
      </w:r>
      <w:r w:rsidR="00C66D57" w:rsidRPr="00363DFD">
        <w:rPr>
          <w:sz w:val="28"/>
          <w:szCs w:val="28"/>
        </w:rPr>
        <w:t xml:space="preserve"> сохранени</w:t>
      </w:r>
      <w:r>
        <w:rPr>
          <w:sz w:val="28"/>
          <w:szCs w:val="28"/>
        </w:rPr>
        <w:t>я</w:t>
      </w:r>
      <w:r w:rsidR="00C66D57" w:rsidRPr="00363DFD">
        <w:rPr>
          <w:sz w:val="28"/>
          <w:szCs w:val="28"/>
        </w:rPr>
        <w:t xml:space="preserve"> негативного влияния жестких внешних санкций на внутрихозяйственную деятельность, </w:t>
      </w:r>
      <w:r>
        <w:rPr>
          <w:sz w:val="28"/>
          <w:szCs w:val="28"/>
        </w:rPr>
        <w:t>ожидается</w:t>
      </w:r>
      <w:r w:rsidR="00C66D57" w:rsidRPr="00363DFD">
        <w:rPr>
          <w:sz w:val="28"/>
          <w:szCs w:val="28"/>
        </w:rPr>
        <w:t xml:space="preserve"> </w:t>
      </w:r>
      <w:r w:rsidR="00210B81" w:rsidRPr="00363DFD">
        <w:rPr>
          <w:sz w:val="28"/>
          <w:szCs w:val="28"/>
          <w:lang w:eastAsia="ru-RU"/>
        </w:rPr>
        <w:t xml:space="preserve">снижение </w:t>
      </w:r>
      <w:r w:rsidR="00093B7B">
        <w:rPr>
          <w:sz w:val="28"/>
          <w:szCs w:val="28"/>
          <w:lang w:eastAsia="ru-RU"/>
        </w:rPr>
        <w:t xml:space="preserve">к предыдущему 2021 году </w:t>
      </w:r>
      <w:r w:rsidR="00210B81" w:rsidRPr="00363DFD">
        <w:rPr>
          <w:sz w:val="28"/>
          <w:szCs w:val="28"/>
          <w:lang w:eastAsia="ru-RU"/>
        </w:rPr>
        <w:t>производственной и инвестиционной активности (особенно в тех отраслях, где нет полного импортозамещения, имеются технологические ограничения, высока доля экспортной составляющей), сохранение на повышенном уровне инфляции, снижение реальных доходов населения и, как следствие, покупательной способности.</w:t>
      </w:r>
      <w:r w:rsidR="00B210F7" w:rsidRPr="00B210F7">
        <w:rPr>
          <w:sz w:val="28"/>
          <w:szCs w:val="28"/>
        </w:rPr>
        <w:t xml:space="preserve"> </w:t>
      </w:r>
    </w:p>
    <w:p w:rsidR="00C66D57" w:rsidRPr="00C66D57" w:rsidRDefault="00C66D57" w:rsidP="00BA753B">
      <w:pPr>
        <w:pStyle w:val="afb"/>
        <w:numPr>
          <w:ilvl w:val="0"/>
          <w:numId w:val="5"/>
        </w:numPr>
        <w:tabs>
          <w:tab w:val="left" w:pos="8208"/>
        </w:tabs>
        <w:spacing w:line="276" w:lineRule="auto"/>
        <w:ind w:left="0" w:firstLine="709"/>
        <w:rPr>
          <w:sz w:val="28"/>
          <w:szCs w:val="28"/>
        </w:rPr>
      </w:pPr>
      <w:r w:rsidRPr="00C66D57">
        <w:rPr>
          <w:sz w:val="28"/>
          <w:szCs w:val="28"/>
        </w:rPr>
        <w:t xml:space="preserve">В целях минимизации негативного влияния внешнего санкционного давления принят и реализуется пакет федеральных и региональных антикризисных мер. Стоят задачи по созданию условий для скорейшей адаптации экономики к новой экономической реальности (новым рискам и </w:t>
      </w:r>
      <w:r w:rsidRPr="00C66D57">
        <w:rPr>
          <w:sz w:val="28"/>
          <w:szCs w:val="28"/>
        </w:rPr>
        <w:lastRenderedPageBreak/>
        <w:t xml:space="preserve">вызовам), созданию максимально благоприятных условий для бизнеса, социальной поддержки граждан. </w:t>
      </w:r>
    </w:p>
    <w:p w:rsidR="00704F02" w:rsidRPr="00210B81" w:rsidRDefault="00A50BA4" w:rsidP="00BA753B">
      <w:pPr>
        <w:spacing w:line="276" w:lineRule="auto"/>
        <w:rPr>
          <w:sz w:val="28"/>
          <w:szCs w:val="28"/>
        </w:rPr>
      </w:pPr>
      <w:r w:rsidRPr="00210B81">
        <w:rPr>
          <w:sz w:val="28"/>
          <w:szCs w:val="28"/>
        </w:rPr>
        <w:t>Основные показатели социально-экономического развития экономики городского округа Тольятти представлены в следующей таблице:</w:t>
      </w:r>
    </w:p>
    <w:p w:rsidR="00210B81" w:rsidRPr="00890AA8" w:rsidRDefault="00210B81" w:rsidP="00E304B0">
      <w:pPr>
        <w:spacing w:line="276" w:lineRule="auto"/>
        <w:rPr>
          <w:sz w:val="28"/>
          <w:szCs w:val="28"/>
          <w:highlight w:val="yellow"/>
        </w:rPr>
      </w:pPr>
    </w:p>
    <w:tbl>
      <w:tblPr>
        <w:tblW w:w="9498" w:type="dxa"/>
        <w:tblInd w:w="108" w:type="dxa"/>
        <w:tblLayout w:type="fixed"/>
        <w:tblLook w:val="0000" w:firstRow="0" w:lastRow="0" w:firstColumn="0" w:lastColumn="0" w:noHBand="0" w:noVBand="0"/>
      </w:tblPr>
      <w:tblGrid>
        <w:gridCol w:w="3261"/>
        <w:gridCol w:w="1417"/>
        <w:gridCol w:w="1276"/>
        <w:gridCol w:w="992"/>
        <w:gridCol w:w="1134"/>
        <w:gridCol w:w="1418"/>
      </w:tblGrid>
      <w:tr w:rsidR="00961AC6" w:rsidRPr="00890AA8" w:rsidTr="008A3DB8">
        <w:trPr>
          <w:tblHeader/>
        </w:trPr>
        <w:tc>
          <w:tcPr>
            <w:tcW w:w="3261" w:type="dxa"/>
            <w:vMerge w:val="restart"/>
            <w:tcBorders>
              <w:top w:val="single" w:sz="4" w:space="0" w:color="000000"/>
              <w:left w:val="single" w:sz="4" w:space="0" w:color="000000"/>
              <w:bottom w:val="single" w:sz="4" w:space="0" w:color="000000"/>
            </w:tcBorders>
          </w:tcPr>
          <w:p w:rsidR="00961AC6" w:rsidRPr="00210B81" w:rsidRDefault="00961AC6" w:rsidP="008A3DB8">
            <w:pPr>
              <w:snapToGrid w:val="0"/>
              <w:spacing w:line="276" w:lineRule="auto"/>
              <w:rPr>
                <w:sz w:val="28"/>
                <w:szCs w:val="28"/>
                <w:shd w:val="clear" w:color="auto" w:fill="FFFF00"/>
              </w:rPr>
            </w:pPr>
          </w:p>
          <w:p w:rsidR="00961AC6" w:rsidRPr="00210B81" w:rsidRDefault="00961AC6" w:rsidP="008A3DB8">
            <w:pPr>
              <w:snapToGrid w:val="0"/>
              <w:spacing w:line="276" w:lineRule="auto"/>
              <w:ind w:firstLine="0"/>
              <w:jc w:val="center"/>
              <w:rPr>
                <w:sz w:val="28"/>
                <w:szCs w:val="28"/>
                <w:shd w:val="clear" w:color="auto" w:fill="FFFF00"/>
              </w:rPr>
            </w:pPr>
            <w:r w:rsidRPr="00210B81">
              <w:rPr>
                <w:sz w:val="28"/>
                <w:szCs w:val="28"/>
              </w:rPr>
              <w:t>Наименование показателя</w:t>
            </w:r>
          </w:p>
        </w:tc>
        <w:tc>
          <w:tcPr>
            <w:tcW w:w="1417" w:type="dxa"/>
            <w:vMerge w:val="restart"/>
            <w:tcBorders>
              <w:top w:val="single" w:sz="4" w:space="0" w:color="000000"/>
              <w:left w:val="single" w:sz="4" w:space="0" w:color="000000"/>
              <w:right w:val="single" w:sz="4" w:space="0" w:color="000000"/>
            </w:tcBorders>
          </w:tcPr>
          <w:p w:rsidR="00961AC6" w:rsidRPr="00210B81" w:rsidRDefault="00961AC6" w:rsidP="008A3DB8">
            <w:pPr>
              <w:ind w:firstLine="0"/>
              <w:jc w:val="center"/>
              <w:rPr>
                <w:sz w:val="28"/>
                <w:szCs w:val="28"/>
              </w:rPr>
            </w:pPr>
            <w:r w:rsidRPr="00210B81">
              <w:rPr>
                <w:sz w:val="28"/>
                <w:szCs w:val="28"/>
              </w:rPr>
              <w:t>Единица измере</w:t>
            </w:r>
            <w:r w:rsidR="00E371C3" w:rsidRPr="00210B81">
              <w:rPr>
                <w:sz w:val="28"/>
                <w:szCs w:val="28"/>
              </w:rPr>
              <w:t xml:space="preserve"> </w:t>
            </w:r>
            <w:r w:rsidRPr="00210B81">
              <w:rPr>
                <w:sz w:val="28"/>
                <w:szCs w:val="28"/>
              </w:rPr>
              <w:t>ния</w:t>
            </w:r>
          </w:p>
        </w:tc>
        <w:tc>
          <w:tcPr>
            <w:tcW w:w="2268" w:type="dxa"/>
            <w:gridSpan w:val="2"/>
            <w:tcBorders>
              <w:top w:val="single" w:sz="4" w:space="0" w:color="000000"/>
              <w:left w:val="single" w:sz="4" w:space="0" w:color="000000"/>
              <w:bottom w:val="single" w:sz="4" w:space="0" w:color="000000"/>
            </w:tcBorders>
            <w:vAlign w:val="center"/>
          </w:tcPr>
          <w:p w:rsidR="00961AC6" w:rsidRPr="00210B81" w:rsidRDefault="00961AC6" w:rsidP="001752BA">
            <w:pPr>
              <w:ind w:left="34" w:firstLine="34"/>
              <w:jc w:val="center"/>
              <w:rPr>
                <w:sz w:val="28"/>
                <w:szCs w:val="28"/>
              </w:rPr>
            </w:pPr>
            <w:r w:rsidRPr="00210B81">
              <w:rPr>
                <w:sz w:val="28"/>
                <w:szCs w:val="28"/>
              </w:rPr>
              <w:t>202</w:t>
            </w:r>
            <w:r w:rsidR="001752BA" w:rsidRPr="00210B81">
              <w:rPr>
                <w:sz w:val="28"/>
                <w:szCs w:val="28"/>
              </w:rPr>
              <w:t>1</w:t>
            </w:r>
            <w:r w:rsidRPr="00210B81">
              <w:rPr>
                <w:sz w:val="28"/>
                <w:szCs w:val="28"/>
              </w:rPr>
              <w:t xml:space="preserve"> г</w:t>
            </w:r>
            <w:r w:rsidR="00EF2D65">
              <w:rPr>
                <w:sz w:val="28"/>
                <w:szCs w:val="28"/>
              </w:rPr>
              <w:t>ода</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961AC6" w:rsidRPr="00210B81" w:rsidRDefault="00961AC6" w:rsidP="001752BA">
            <w:pPr>
              <w:ind w:left="34" w:firstLine="34"/>
              <w:jc w:val="center"/>
              <w:rPr>
                <w:sz w:val="28"/>
                <w:szCs w:val="28"/>
                <w:shd w:val="clear" w:color="auto" w:fill="FFFF00"/>
              </w:rPr>
            </w:pPr>
            <w:r w:rsidRPr="00210B81">
              <w:rPr>
                <w:sz w:val="28"/>
                <w:szCs w:val="28"/>
              </w:rPr>
              <w:t>202</w:t>
            </w:r>
            <w:r w:rsidR="001752BA" w:rsidRPr="00210B81">
              <w:rPr>
                <w:sz w:val="28"/>
                <w:szCs w:val="28"/>
              </w:rPr>
              <w:t>2</w:t>
            </w:r>
            <w:r w:rsidRPr="00210B81">
              <w:rPr>
                <w:sz w:val="28"/>
                <w:szCs w:val="28"/>
              </w:rPr>
              <w:t xml:space="preserve"> г</w:t>
            </w:r>
            <w:r w:rsidR="00EF2D65">
              <w:rPr>
                <w:sz w:val="28"/>
                <w:szCs w:val="28"/>
              </w:rPr>
              <w:t>ода</w:t>
            </w:r>
          </w:p>
        </w:tc>
      </w:tr>
      <w:tr w:rsidR="00961AC6" w:rsidRPr="00890AA8" w:rsidTr="008A3DB8">
        <w:trPr>
          <w:tblHeader/>
        </w:trPr>
        <w:tc>
          <w:tcPr>
            <w:tcW w:w="3261" w:type="dxa"/>
            <w:vMerge/>
            <w:tcBorders>
              <w:top w:val="single" w:sz="4" w:space="0" w:color="000000"/>
              <w:left w:val="single" w:sz="4" w:space="0" w:color="000000"/>
              <w:bottom w:val="single" w:sz="4" w:space="0" w:color="000000"/>
            </w:tcBorders>
          </w:tcPr>
          <w:p w:rsidR="00961AC6" w:rsidRPr="00210B81" w:rsidRDefault="00961AC6" w:rsidP="008A3DB8">
            <w:pPr>
              <w:snapToGrid w:val="0"/>
              <w:spacing w:line="276" w:lineRule="auto"/>
              <w:rPr>
                <w:sz w:val="28"/>
                <w:szCs w:val="28"/>
                <w:shd w:val="clear" w:color="auto" w:fill="FFFF00"/>
              </w:rPr>
            </w:pPr>
          </w:p>
        </w:tc>
        <w:tc>
          <w:tcPr>
            <w:tcW w:w="1417" w:type="dxa"/>
            <w:vMerge/>
            <w:tcBorders>
              <w:left w:val="single" w:sz="4" w:space="0" w:color="000000"/>
              <w:bottom w:val="single" w:sz="4" w:space="0" w:color="000000"/>
              <w:right w:val="single" w:sz="4" w:space="0" w:color="000000"/>
            </w:tcBorders>
          </w:tcPr>
          <w:p w:rsidR="00961AC6" w:rsidRPr="00210B81" w:rsidRDefault="00961AC6" w:rsidP="008A3DB8">
            <w:pPr>
              <w:jc w:val="center"/>
              <w:rPr>
                <w:sz w:val="28"/>
                <w:szCs w:val="28"/>
              </w:rPr>
            </w:pPr>
          </w:p>
        </w:tc>
        <w:tc>
          <w:tcPr>
            <w:tcW w:w="1276" w:type="dxa"/>
            <w:tcBorders>
              <w:top w:val="single" w:sz="4" w:space="0" w:color="000000"/>
              <w:left w:val="single" w:sz="4" w:space="0" w:color="000000"/>
              <w:bottom w:val="single" w:sz="4" w:space="0" w:color="000000"/>
            </w:tcBorders>
            <w:vAlign w:val="center"/>
          </w:tcPr>
          <w:p w:rsidR="00961AC6" w:rsidRPr="00210B81" w:rsidRDefault="00961AC6" w:rsidP="008A3DB8">
            <w:pPr>
              <w:ind w:firstLine="0"/>
              <w:jc w:val="center"/>
              <w:rPr>
                <w:sz w:val="28"/>
                <w:szCs w:val="28"/>
              </w:rPr>
            </w:pPr>
            <w:r w:rsidRPr="00210B81">
              <w:rPr>
                <w:sz w:val="28"/>
                <w:szCs w:val="28"/>
              </w:rPr>
              <w:t>январь-июнь</w:t>
            </w:r>
          </w:p>
        </w:tc>
        <w:tc>
          <w:tcPr>
            <w:tcW w:w="992" w:type="dxa"/>
            <w:tcBorders>
              <w:top w:val="single" w:sz="4" w:space="0" w:color="000000"/>
              <w:left w:val="single" w:sz="4" w:space="0" w:color="000000"/>
              <w:bottom w:val="single" w:sz="4" w:space="0" w:color="000000"/>
            </w:tcBorders>
            <w:vAlign w:val="center"/>
          </w:tcPr>
          <w:p w:rsidR="00961AC6" w:rsidRPr="00210B81" w:rsidRDefault="00961AC6" w:rsidP="008A3DB8">
            <w:pPr>
              <w:ind w:left="34" w:firstLine="34"/>
              <w:jc w:val="center"/>
              <w:rPr>
                <w:sz w:val="28"/>
                <w:szCs w:val="28"/>
              </w:rPr>
            </w:pPr>
            <w:r w:rsidRPr="00210B81">
              <w:rPr>
                <w:sz w:val="28"/>
                <w:szCs w:val="28"/>
              </w:rPr>
              <w:t>год</w:t>
            </w:r>
          </w:p>
        </w:tc>
        <w:tc>
          <w:tcPr>
            <w:tcW w:w="1134" w:type="dxa"/>
            <w:tcBorders>
              <w:top w:val="single" w:sz="4" w:space="0" w:color="000000"/>
              <w:left w:val="single" w:sz="4" w:space="0" w:color="000000"/>
              <w:bottom w:val="single" w:sz="4" w:space="0" w:color="000000"/>
            </w:tcBorders>
            <w:vAlign w:val="center"/>
          </w:tcPr>
          <w:p w:rsidR="00961AC6" w:rsidRPr="00210B81" w:rsidRDefault="00961AC6" w:rsidP="008A3DB8">
            <w:pPr>
              <w:ind w:left="34" w:firstLine="34"/>
              <w:jc w:val="center"/>
              <w:rPr>
                <w:sz w:val="28"/>
                <w:szCs w:val="28"/>
              </w:rPr>
            </w:pPr>
            <w:r w:rsidRPr="00210B81">
              <w:rPr>
                <w:sz w:val="28"/>
                <w:szCs w:val="28"/>
              </w:rPr>
              <w:t>январь-июнь</w:t>
            </w:r>
          </w:p>
        </w:tc>
        <w:tc>
          <w:tcPr>
            <w:tcW w:w="1418" w:type="dxa"/>
            <w:tcBorders>
              <w:top w:val="single" w:sz="4" w:space="0" w:color="000000"/>
              <w:left w:val="single" w:sz="4" w:space="0" w:color="000000"/>
              <w:bottom w:val="single" w:sz="4" w:space="0" w:color="000000"/>
              <w:right w:val="single" w:sz="4" w:space="0" w:color="000000"/>
            </w:tcBorders>
            <w:vAlign w:val="center"/>
          </w:tcPr>
          <w:p w:rsidR="00961AC6" w:rsidRPr="00210B81" w:rsidRDefault="00961AC6" w:rsidP="008A3DB8">
            <w:pPr>
              <w:ind w:left="34" w:firstLine="34"/>
              <w:jc w:val="center"/>
              <w:rPr>
                <w:sz w:val="28"/>
                <w:szCs w:val="28"/>
              </w:rPr>
            </w:pPr>
            <w:r w:rsidRPr="00210B81">
              <w:rPr>
                <w:sz w:val="28"/>
                <w:szCs w:val="28"/>
              </w:rPr>
              <w:t>год</w:t>
            </w:r>
          </w:p>
          <w:p w:rsidR="00961AC6" w:rsidRPr="00210B81" w:rsidRDefault="00961AC6" w:rsidP="008A3DB8">
            <w:pPr>
              <w:ind w:left="34" w:firstLine="34"/>
              <w:jc w:val="center"/>
              <w:rPr>
                <w:sz w:val="28"/>
                <w:szCs w:val="28"/>
              </w:rPr>
            </w:pPr>
            <w:r w:rsidRPr="00210B81">
              <w:rPr>
                <w:sz w:val="28"/>
                <w:szCs w:val="28"/>
              </w:rPr>
              <w:t>(оценка)</w:t>
            </w:r>
          </w:p>
        </w:tc>
      </w:tr>
      <w:tr w:rsidR="00BC36B0" w:rsidRPr="00890AA8" w:rsidTr="008A3DB8">
        <w:tc>
          <w:tcPr>
            <w:tcW w:w="3261" w:type="dxa"/>
            <w:tcBorders>
              <w:top w:val="single" w:sz="4" w:space="0" w:color="000000"/>
              <w:left w:val="single" w:sz="4" w:space="0" w:color="000000"/>
              <w:bottom w:val="single" w:sz="4" w:space="0" w:color="000000"/>
            </w:tcBorders>
          </w:tcPr>
          <w:p w:rsidR="00BC36B0" w:rsidRPr="00BC36B0" w:rsidRDefault="00BC36B0" w:rsidP="008A3DB8">
            <w:pPr>
              <w:snapToGrid w:val="0"/>
              <w:ind w:firstLine="0"/>
              <w:rPr>
                <w:sz w:val="28"/>
                <w:szCs w:val="28"/>
              </w:rPr>
            </w:pPr>
            <w:r w:rsidRPr="00BC36B0">
              <w:rPr>
                <w:sz w:val="28"/>
                <w:szCs w:val="28"/>
              </w:rPr>
              <w:t xml:space="preserve">Объем отгруженной промышленной продукции собственного производства (по разделам </w:t>
            </w:r>
            <w:r w:rsidRPr="00BC36B0">
              <w:rPr>
                <w:sz w:val="28"/>
                <w:szCs w:val="28"/>
                <w:lang w:val="en-US"/>
              </w:rPr>
              <w:t>C</w:t>
            </w:r>
            <w:r w:rsidRPr="00BC36B0">
              <w:rPr>
                <w:sz w:val="28"/>
                <w:szCs w:val="28"/>
              </w:rPr>
              <w:t>, D, E)</w:t>
            </w:r>
            <w:r w:rsidRPr="00BC36B0">
              <w:rPr>
                <w:sz w:val="28"/>
                <w:szCs w:val="28"/>
                <w:vertAlign w:val="superscript"/>
              </w:rPr>
              <w:t>1</w:t>
            </w:r>
            <w:r w:rsidRPr="00BC36B0">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C36B0" w:rsidRPr="00BC36B0" w:rsidRDefault="00BC36B0" w:rsidP="008A3DB8">
            <w:pPr>
              <w:ind w:firstLine="0"/>
              <w:jc w:val="center"/>
              <w:rPr>
                <w:sz w:val="28"/>
                <w:szCs w:val="28"/>
              </w:rPr>
            </w:pPr>
            <w:r w:rsidRPr="00BC36B0">
              <w:rPr>
                <w:sz w:val="28"/>
                <w:szCs w:val="28"/>
              </w:rPr>
              <w:t>млрд. руб</w:t>
            </w:r>
            <w:r w:rsidR="00EF2D65">
              <w:rPr>
                <w:sz w:val="28"/>
                <w:szCs w:val="28"/>
              </w:rPr>
              <w:t>лей</w:t>
            </w:r>
          </w:p>
        </w:tc>
        <w:tc>
          <w:tcPr>
            <w:tcW w:w="1276" w:type="dxa"/>
            <w:tcBorders>
              <w:top w:val="single" w:sz="4" w:space="0" w:color="000000"/>
              <w:left w:val="single" w:sz="4" w:space="0" w:color="000000"/>
              <w:bottom w:val="single" w:sz="4" w:space="0" w:color="000000"/>
            </w:tcBorders>
            <w:vAlign w:val="center"/>
          </w:tcPr>
          <w:p w:rsidR="00BC36B0" w:rsidRPr="00BC36B0" w:rsidRDefault="00BC36B0" w:rsidP="00BC36B0">
            <w:pPr>
              <w:ind w:firstLine="0"/>
              <w:jc w:val="center"/>
              <w:rPr>
                <w:sz w:val="28"/>
                <w:szCs w:val="28"/>
              </w:rPr>
            </w:pPr>
            <w:r w:rsidRPr="00BC36B0">
              <w:rPr>
                <w:sz w:val="28"/>
                <w:szCs w:val="28"/>
              </w:rPr>
              <w:t>329,6</w:t>
            </w:r>
          </w:p>
        </w:tc>
        <w:tc>
          <w:tcPr>
            <w:tcW w:w="992" w:type="dxa"/>
            <w:tcBorders>
              <w:top w:val="single" w:sz="4" w:space="0" w:color="000000"/>
              <w:left w:val="single" w:sz="4" w:space="0" w:color="000000"/>
              <w:bottom w:val="single" w:sz="4" w:space="0" w:color="000000"/>
            </w:tcBorders>
            <w:shd w:val="clear" w:color="auto" w:fill="auto"/>
            <w:vAlign w:val="center"/>
          </w:tcPr>
          <w:p w:rsidR="00BC36B0" w:rsidRPr="00BC36B0" w:rsidRDefault="00BC36B0" w:rsidP="00BC36B0">
            <w:pPr>
              <w:ind w:firstLine="0"/>
              <w:jc w:val="center"/>
              <w:rPr>
                <w:sz w:val="28"/>
                <w:szCs w:val="28"/>
              </w:rPr>
            </w:pPr>
            <w:r w:rsidRPr="00BC36B0">
              <w:rPr>
                <w:sz w:val="28"/>
                <w:szCs w:val="28"/>
              </w:rPr>
              <w:t>672,6</w:t>
            </w:r>
          </w:p>
        </w:tc>
        <w:tc>
          <w:tcPr>
            <w:tcW w:w="1134" w:type="dxa"/>
            <w:tcBorders>
              <w:top w:val="single" w:sz="4" w:space="0" w:color="000000"/>
              <w:left w:val="single" w:sz="4" w:space="0" w:color="000000"/>
              <w:bottom w:val="single" w:sz="4" w:space="0" w:color="000000"/>
            </w:tcBorders>
            <w:vAlign w:val="center"/>
          </w:tcPr>
          <w:p w:rsidR="00BC36B0" w:rsidRPr="00BC36B0" w:rsidRDefault="00BC36B0" w:rsidP="00BC36B0">
            <w:pPr>
              <w:ind w:firstLine="0"/>
              <w:jc w:val="center"/>
              <w:rPr>
                <w:sz w:val="28"/>
                <w:szCs w:val="28"/>
                <w:lang w:val="en-US"/>
              </w:rPr>
            </w:pPr>
            <w:r w:rsidRPr="00BC36B0">
              <w:rPr>
                <w:sz w:val="28"/>
                <w:szCs w:val="28"/>
              </w:rPr>
              <w:t>273,9</w:t>
            </w:r>
          </w:p>
        </w:tc>
        <w:tc>
          <w:tcPr>
            <w:tcW w:w="1418" w:type="dxa"/>
            <w:tcBorders>
              <w:top w:val="single" w:sz="4" w:space="0" w:color="000000"/>
              <w:left w:val="single" w:sz="4" w:space="0" w:color="000000"/>
              <w:bottom w:val="single" w:sz="4" w:space="0" w:color="000000"/>
              <w:right w:val="single" w:sz="4" w:space="0" w:color="000000"/>
            </w:tcBorders>
            <w:vAlign w:val="center"/>
          </w:tcPr>
          <w:p w:rsidR="00BC36B0" w:rsidRPr="00BC36B0" w:rsidRDefault="00BC36B0" w:rsidP="009E5CD1">
            <w:pPr>
              <w:ind w:firstLine="0"/>
              <w:jc w:val="center"/>
              <w:rPr>
                <w:sz w:val="28"/>
                <w:szCs w:val="28"/>
              </w:rPr>
            </w:pPr>
            <w:r w:rsidRPr="00BC36B0">
              <w:rPr>
                <w:sz w:val="28"/>
                <w:szCs w:val="28"/>
              </w:rPr>
              <w:t>5</w:t>
            </w:r>
            <w:r w:rsidR="009E5CD1">
              <w:rPr>
                <w:sz w:val="28"/>
                <w:szCs w:val="28"/>
              </w:rPr>
              <w:t>75,1</w:t>
            </w:r>
          </w:p>
        </w:tc>
      </w:tr>
      <w:tr w:rsidR="00BC36B0" w:rsidRPr="00890AA8" w:rsidTr="008A3DB8">
        <w:tc>
          <w:tcPr>
            <w:tcW w:w="3261" w:type="dxa"/>
            <w:tcBorders>
              <w:top w:val="single" w:sz="4" w:space="0" w:color="000000"/>
              <w:left w:val="single" w:sz="4" w:space="0" w:color="000000"/>
              <w:bottom w:val="single" w:sz="4" w:space="0" w:color="000000"/>
            </w:tcBorders>
          </w:tcPr>
          <w:p w:rsidR="00BC36B0" w:rsidRPr="00BC36B0" w:rsidRDefault="00BC36B0" w:rsidP="008A3DB8">
            <w:pPr>
              <w:ind w:firstLine="0"/>
              <w:rPr>
                <w:sz w:val="28"/>
                <w:szCs w:val="28"/>
              </w:rPr>
            </w:pPr>
            <w:r w:rsidRPr="00BC36B0">
              <w:rPr>
                <w:sz w:val="28"/>
                <w:szCs w:val="28"/>
              </w:rPr>
              <w:t>Индекс промышленного производства</w:t>
            </w:r>
            <w:r w:rsidRPr="00BC36B0">
              <w:rPr>
                <w:sz w:val="28"/>
                <w:szCs w:val="28"/>
                <w:vertAlign w:val="superscript"/>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BC36B0" w:rsidRPr="00BC36B0" w:rsidRDefault="00BC36B0" w:rsidP="008A3DB8">
            <w:pPr>
              <w:ind w:firstLine="0"/>
              <w:jc w:val="center"/>
              <w:rPr>
                <w:sz w:val="28"/>
                <w:szCs w:val="28"/>
              </w:rPr>
            </w:pPr>
            <w:r w:rsidRPr="00BC36B0">
              <w:rPr>
                <w:sz w:val="28"/>
                <w:szCs w:val="28"/>
              </w:rPr>
              <w:t>%</w:t>
            </w:r>
          </w:p>
        </w:tc>
        <w:tc>
          <w:tcPr>
            <w:tcW w:w="1276" w:type="dxa"/>
            <w:tcBorders>
              <w:top w:val="single" w:sz="4" w:space="0" w:color="000000"/>
              <w:left w:val="single" w:sz="4" w:space="0" w:color="000000"/>
              <w:bottom w:val="single" w:sz="4" w:space="0" w:color="000000"/>
            </w:tcBorders>
            <w:vAlign w:val="center"/>
          </w:tcPr>
          <w:p w:rsidR="00BC36B0" w:rsidRPr="00DE76DC" w:rsidRDefault="00BC36B0" w:rsidP="00BC36B0">
            <w:pPr>
              <w:ind w:firstLine="0"/>
              <w:jc w:val="center"/>
              <w:rPr>
                <w:sz w:val="28"/>
                <w:szCs w:val="28"/>
                <w:highlight w:val="magenta"/>
              </w:rPr>
            </w:pPr>
            <w:r w:rsidRPr="00DE76DC">
              <w:rPr>
                <w:sz w:val="28"/>
                <w:szCs w:val="28"/>
              </w:rPr>
              <w:t>117,4</w:t>
            </w:r>
          </w:p>
        </w:tc>
        <w:tc>
          <w:tcPr>
            <w:tcW w:w="992" w:type="dxa"/>
            <w:tcBorders>
              <w:top w:val="single" w:sz="4" w:space="0" w:color="000000"/>
              <w:left w:val="single" w:sz="4" w:space="0" w:color="000000"/>
              <w:bottom w:val="single" w:sz="4" w:space="0" w:color="000000"/>
            </w:tcBorders>
            <w:vAlign w:val="center"/>
          </w:tcPr>
          <w:p w:rsidR="00BC36B0" w:rsidRPr="00DE76DC" w:rsidRDefault="00BC36B0" w:rsidP="00BC36B0">
            <w:pPr>
              <w:ind w:firstLine="0"/>
              <w:jc w:val="center"/>
              <w:rPr>
                <w:sz w:val="28"/>
                <w:szCs w:val="28"/>
                <w:highlight w:val="magenta"/>
              </w:rPr>
            </w:pPr>
            <w:r w:rsidRPr="00DE76DC">
              <w:rPr>
                <w:sz w:val="28"/>
                <w:szCs w:val="28"/>
              </w:rPr>
              <w:t>101,2</w:t>
            </w:r>
          </w:p>
        </w:tc>
        <w:tc>
          <w:tcPr>
            <w:tcW w:w="1134" w:type="dxa"/>
            <w:tcBorders>
              <w:top w:val="single" w:sz="4" w:space="0" w:color="000000"/>
              <w:left w:val="single" w:sz="4" w:space="0" w:color="000000"/>
              <w:bottom w:val="single" w:sz="4" w:space="0" w:color="000000"/>
            </w:tcBorders>
            <w:vAlign w:val="center"/>
          </w:tcPr>
          <w:p w:rsidR="00BC36B0" w:rsidRPr="00DE76DC" w:rsidRDefault="00BC36B0" w:rsidP="00BC36B0">
            <w:pPr>
              <w:ind w:firstLine="0"/>
              <w:jc w:val="center"/>
              <w:rPr>
                <w:sz w:val="28"/>
                <w:szCs w:val="28"/>
                <w:highlight w:val="magenta"/>
              </w:rPr>
            </w:pPr>
            <w:r w:rsidRPr="00DE76DC">
              <w:rPr>
                <w:sz w:val="28"/>
                <w:szCs w:val="28"/>
              </w:rPr>
              <w:t>67,8</w:t>
            </w:r>
          </w:p>
        </w:tc>
        <w:tc>
          <w:tcPr>
            <w:tcW w:w="1418" w:type="dxa"/>
            <w:tcBorders>
              <w:top w:val="single" w:sz="4" w:space="0" w:color="000000"/>
              <w:left w:val="single" w:sz="4" w:space="0" w:color="000000"/>
              <w:bottom w:val="single" w:sz="4" w:space="0" w:color="000000"/>
              <w:right w:val="single" w:sz="4" w:space="0" w:color="000000"/>
            </w:tcBorders>
            <w:vAlign w:val="center"/>
          </w:tcPr>
          <w:p w:rsidR="00BC36B0" w:rsidRPr="00890AA8" w:rsidRDefault="009E5CD1" w:rsidP="008A3DB8">
            <w:pPr>
              <w:ind w:firstLine="0"/>
              <w:jc w:val="center"/>
              <w:rPr>
                <w:sz w:val="28"/>
                <w:szCs w:val="28"/>
                <w:highlight w:val="yellow"/>
              </w:rPr>
            </w:pPr>
            <w:r>
              <w:rPr>
                <w:sz w:val="28"/>
                <w:szCs w:val="28"/>
              </w:rPr>
              <w:t>74,2</w:t>
            </w:r>
          </w:p>
        </w:tc>
      </w:tr>
      <w:tr w:rsidR="00EF2D65" w:rsidRPr="00890AA8" w:rsidTr="00792F2B">
        <w:tc>
          <w:tcPr>
            <w:tcW w:w="3261" w:type="dxa"/>
            <w:tcBorders>
              <w:top w:val="single" w:sz="4" w:space="0" w:color="000000"/>
              <w:left w:val="single" w:sz="4" w:space="0" w:color="000000"/>
              <w:bottom w:val="single" w:sz="4" w:space="0" w:color="000000"/>
            </w:tcBorders>
          </w:tcPr>
          <w:p w:rsidR="00EF2D65" w:rsidRPr="007F1DA1" w:rsidRDefault="00EF2D65" w:rsidP="00EF2D65">
            <w:pPr>
              <w:ind w:firstLine="0"/>
              <w:rPr>
                <w:sz w:val="28"/>
                <w:szCs w:val="28"/>
              </w:rPr>
            </w:pPr>
            <w:r w:rsidRPr="007F1DA1">
              <w:rPr>
                <w:sz w:val="28"/>
                <w:szCs w:val="28"/>
              </w:rPr>
              <w:t>Инвестиции в основной капитал</w:t>
            </w:r>
          </w:p>
        </w:tc>
        <w:tc>
          <w:tcPr>
            <w:tcW w:w="1417" w:type="dxa"/>
            <w:tcBorders>
              <w:top w:val="single" w:sz="4" w:space="0" w:color="000000"/>
              <w:left w:val="single" w:sz="4" w:space="0" w:color="000000"/>
              <w:bottom w:val="single" w:sz="4" w:space="0" w:color="000000"/>
              <w:right w:val="single" w:sz="4" w:space="0" w:color="000000"/>
            </w:tcBorders>
          </w:tcPr>
          <w:p w:rsidR="00EF2D65" w:rsidRPr="007F1DA1" w:rsidRDefault="00EF2D65" w:rsidP="00EF2D65">
            <w:pPr>
              <w:ind w:firstLine="0"/>
              <w:jc w:val="center"/>
              <w:rPr>
                <w:sz w:val="28"/>
                <w:szCs w:val="28"/>
              </w:rPr>
            </w:pPr>
            <w:r w:rsidRPr="004B510B">
              <w:rPr>
                <w:sz w:val="28"/>
                <w:szCs w:val="28"/>
              </w:rPr>
              <w:t>млрд. рублей</w:t>
            </w:r>
          </w:p>
        </w:tc>
        <w:tc>
          <w:tcPr>
            <w:tcW w:w="1276" w:type="dxa"/>
            <w:tcBorders>
              <w:top w:val="single" w:sz="4" w:space="0" w:color="000000"/>
              <w:left w:val="single" w:sz="4" w:space="0" w:color="000000"/>
              <w:bottom w:val="single" w:sz="4" w:space="0" w:color="000000"/>
            </w:tcBorders>
            <w:vAlign w:val="center"/>
          </w:tcPr>
          <w:p w:rsidR="00EF2D65" w:rsidRPr="00890AA8" w:rsidRDefault="00EF2D65" w:rsidP="00EF2D65">
            <w:pPr>
              <w:ind w:firstLine="0"/>
              <w:jc w:val="center"/>
              <w:rPr>
                <w:sz w:val="28"/>
                <w:szCs w:val="28"/>
                <w:highlight w:val="yellow"/>
                <w:vertAlign w:val="superscript"/>
              </w:rPr>
            </w:pPr>
            <w:r w:rsidRPr="007F1DA1">
              <w:rPr>
                <w:sz w:val="28"/>
                <w:szCs w:val="28"/>
              </w:rPr>
              <w:t>23,5</w:t>
            </w:r>
            <w:r w:rsidRPr="007F1DA1">
              <w:rPr>
                <w:sz w:val="28"/>
                <w:szCs w:val="28"/>
                <w:vertAlign w:val="superscript"/>
              </w:rPr>
              <w:t>1</w:t>
            </w:r>
          </w:p>
        </w:tc>
        <w:tc>
          <w:tcPr>
            <w:tcW w:w="992" w:type="dxa"/>
            <w:tcBorders>
              <w:top w:val="single" w:sz="4" w:space="0" w:color="000000"/>
              <w:left w:val="single" w:sz="4" w:space="0" w:color="000000"/>
              <w:bottom w:val="single" w:sz="4" w:space="0" w:color="000000"/>
            </w:tcBorders>
            <w:vAlign w:val="center"/>
          </w:tcPr>
          <w:p w:rsidR="00EF2D65" w:rsidRPr="00890AA8" w:rsidRDefault="00EF2D65" w:rsidP="00EF2D65">
            <w:pPr>
              <w:ind w:firstLine="0"/>
              <w:jc w:val="center"/>
              <w:rPr>
                <w:sz w:val="28"/>
                <w:szCs w:val="28"/>
                <w:highlight w:val="yellow"/>
              </w:rPr>
            </w:pPr>
            <w:r w:rsidRPr="007F1DA1">
              <w:rPr>
                <w:sz w:val="28"/>
                <w:szCs w:val="28"/>
              </w:rPr>
              <w:t>59,9</w:t>
            </w:r>
            <w:r w:rsidRPr="007F1DA1">
              <w:rPr>
                <w:sz w:val="28"/>
                <w:szCs w:val="28"/>
                <w:vertAlign w:val="superscript"/>
              </w:rPr>
              <w:t>2</w:t>
            </w:r>
          </w:p>
        </w:tc>
        <w:tc>
          <w:tcPr>
            <w:tcW w:w="1134" w:type="dxa"/>
            <w:tcBorders>
              <w:top w:val="single" w:sz="4" w:space="0" w:color="000000"/>
              <w:left w:val="single" w:sz="4" w:space="0" w:color="000000"/>
              <w:bottom w:val="single" w:sz="4" w:space="0" w:color="000000"/>
            </w:tcBorders>
            <w:vAlign w:val="center"/>
          </w:tcPr>
          <w:p w:rsidR="00EF2D65" w:rsidRPr="007F1DA1" w:rsidRDefault="00EF2D65" w:rsidP="00EF2D65">
            <w:pPr>
              <w:ind w:firstLine="0"/>
              <w:jc w:val="center"/>
              <w:rPr>
                <w:sz w:val="28"/>
                <w:szCs w:val="28"/>
              </w:rPr>
            </w:pPr>
            <w:r w:rsidRPr="007F1DA1">
              <w:rPr>
                <w:sz w:val="28"/>
                <w:szCs w:val="28"/>
              </w:rPr>
              <w:t>23,5</w:t>
            </w:r>
            <w:r w:rsidRPr="007F1DA1">
              <w:rPr>
                <w:sz w:val="28"/>
                <w:szCs w:val="28"/>
                <w:vertAlign w:val="superscript"/>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EF2D65" w:rsidRPr="007F1DA1" w:rsidRDefault="00EF2D65" w:rsidP="00EF2D65">
            <w:pPr>
              <w:ind w:firstLine="0"/>
              <w:jc w:val="center"/>
              <w:rPr>
                <w:sz w:val="28"/>
                <w:szCs w:val="28"/>
              </w:rPr>
            </w:pPr>
            <w:r w:rsidRPr="007F1DA1">
              <w:rPr>
                <w:sz w:val="28"/>
                <w:szCs w:val="28"/>
              </w:rPr>
              <w:t>60,4</w:t>
            </w:r>
            <w:r w:rsidRPr="007F1DA1">
              <w:rPr>
                <w:sz w:val="28"/>
                <w:szCs w:val="28"/>
                <w:vertAlign w:val="superscript"/>
              </w:rPr>
              <w:t>2</w:t>
            </w:r>
          </w:p>
        </w:tc>
      </w:tr>
      <w:tr w:rsidR="00EF2D65" w:rsidRPr="00890AA8" w:rsidTr="00792F2B">
        <w:tc>
          <w:tcPr>
            <w:tcW w:w="3261" w:type="dxa"/>
            <w:tcBorders>
              <w:top w:val="single" w:sz="4" w:space="0" w:color="000000"/>
              <w:left w:val="single" w:sz="4" w:space="0" w:color="000000"/>
              <w:bottom w:val="single" w:sz="4" w:space="0" w:color="000000"/>
            </w:tcBorders>
          </w:tcPr>
          <w:p w:rsidR="00EF2D65" w:rsidRPr="00A7640A" w:rsidRDefault="00EF2D65" w:rsidP="00EF2D65">
            <w:pPr>
              <w:ind w:firstLine="0"/>
              <w:rPr>
                <w:sz w:val="28"/>
                <w:szCs w:val="28"/>
              </w:rPr>
            </w:pPr>
            <w:r w:rsidRPr="00A7640A">
              <w:rPr>
                <w:sz w:val="28"/>
                <w:szCs w:val="28"/>
              </w:rPr>
              <w:t>Прибыль прибыльных организаций до налогообложения</w:t>
            </w:r>
            <w:r w:rsidRPr="00A7640A">
              <w:rPr>
                <w:sz w:val="28"/>
                <w:szCs w:val="28"/>
                <w:vertAlign w:val="superscript"/>
              </w:rPr>
              <w:t>1</w:t>
            </w:r>
          </w:p>
        </w:tc>
        <w:tc>
          <w:tcPr>
            <w:tcW w:w="1417" w:type="dxa"/>
            <w:tcBorders>
              <w:top w:val="single" w:sz="4" w:space="0" w:color="000000"/>
              <w:left w:val="single" w:sz="4" w:space="0" w:color="000000"/>
              <w:bottom w:val="single" w:sz="4" w:space="0" w:color="000000"/>
              <w:right w:val="single" w:sz="4" w:space="0" w:color="000000"/>
            </w:tcBorders>
          </w:tcPr>
          <w:p w:rsidR="00EF2D65" w:rsidRPr="00A7640A" w:rsidRDefault="00EF2D65" w:rsidP="00EF2D65">
            <w:pPr>
              <w:ind w:firstLine="0"/>
              <w:jc w:val="center"/>
              <w:rPr>
                <w:sz w:val="28"/>
                <w:szCs w:val="28"/>
              </w:rPr>
            </w:pPr>
            <w:r w:rsidRPr="004B510B">
              <w:rPr>
                <w:sz w:val="28"/>
                <w:szCs w:val="28"/>
              </w:rPr>
              <w:t>млрд. рублей</w:t>
            </w:r>
          </w:p>
        </w:tc>
        <w:tc>
          <w:tcPr>
            <w:tcW w:w="1276" w:type="dxa"/>
            <w:tcBorders>
              <w:top w:val="single" w:sz="4" w:space="0" w:color="000000"/>
              <w:left w:val="single" w:sz="4" w:space="0" w:color="000000"/>
              <w:bottom w:val="single" w:sz="4" w:space="0" w:color="000000"/>
            </w:tcBorders>
            <w:vAlign w:val="center"/>
          </w:tcPr>
          <w:p w:rsidR="00EF2D65" w:rsidRPr="00A7640A" w:rsidRDefault="00EF2D65" w:rsidP="00EF2D65">
            <w:pPr>
              <w:ind w:firstLine="0"/>
              <w:jc w:val="center"/>
              <w:rPr>
                <w:sz w:val="28"/>
                <w:szCs w:val="28"/>
              </w:rPr>
            </w:pPr>
            <w:r w:rsidRPr="00A7640A">
              <w:rPr>
                <w:sz w:val="28"/>
                <w:szCs w:val="28"/>
              </w:rPr>
              <w:t>48,3</w:t>
            </w:r>
          </w:p>
        </w:tc>
        <w:tc>
          <w:tcPr>
            <w:tcW w:w="992" w:type="dxa"/>
            <w:tcBorders>
              <w:top w:val="single" w:sz="4" w:space="0" w:color="000000"/>
              <w:left w:val="single" w:sz="4" w:space="0" w:color="000000"/>
              <w:bottom w:val="single" w:sz="4" w:space="0" w:color="000000"/>
            </w:tcBorders>
            <w:vAlign w:val="center"/>
          </w:tcPr>
          <w:p w:rsidR="00EF2D65" w:rsidRPr="00A7640A" w:rsidRDefault="00EF2D65" w:rsidP="00EF2D65">
            <w:pPr>
              <w:ind w:firstLine="0"/>
              <w:jc w:val="center"/>
              <w:rPr>
                <w:sz w:val="28"/>
                <w:szCs w:val="28"/>
              </w:rPr>
            </w:pPr>
            <w:r w:rsidRPr="00A7640A">
              <w:rPr>
                <w:sz w:val="28"/>
                <w:szCs w:val="28"/>
              </w:rPr>
              <w:t>118,5</w:t>
            </w:r>
          </w:p>
        </w:tc>
        <w:tc>
          <w:tcPr>
            <w:tcW w:w="1134" w:type="dxa"/>
            <w:tcBorders>
              <w:top w:val="single" w:sz="4" w:space="0" w:color="000000"/>
              <w:left w:val="single" w:sz="4" w:space="0" w:color="000000"/>
              <w:bottom w:val="single" w:sz="4" w:space="0" w:color="000000"/>
            </w:tcBorders>
            <w:shd w:val="clear" w:color="auto" w:fill="EEFFF5" w:themeFill="background1"/>
            <w:vAlign w:val="center"/>
          </w:tcPr>
          <w:p w:rsidR="00EF2D65" w:rsidRPr="00A7640A" w:rsidRDefault="00EF2D65" w:rsidP="00EF2D65">
            <w:pPr>
              <w:ind w:firstLine="0"/>
              <w:jc w:val="center"/>
              <w:rPr>
                <w:sz w:val="28"/>
                <w:szCs w:val="28"/>
              </w:rPr>
            </w:pPr>
            <w:r>
              <w:rPr>
                <w:sz w:val="28"/>
                <w:szCs w:val="28"/>
              </w:rPr>
              <w:t>73,3</w:t>
            </w:r>
          </w:p>
        </w:tc>
        <w:tc>
          <w:tcPr>
            <w:tcW w:w="1418" w:type="dxa"/>
            <w:tcBorders>
              <w:top w:val="single" w:sz="4" w:space="0" w:color="000000"/>
              <w:left w:val="single" w:sz="4" w:space="0" w:color="000000"/>
              <w:bottom w:val="single" w:sz="4" w:space="0" w:color="000000"/>
              <w:right w:val="single" w:sz="4" w:space="0" w:color="000000"/>
            </w:tcBorders>
            <w:vAlign w:val="center"/>
          </w:tcPr>
          <w:p w:rsidR="00EF2D65" w:rsidRPr="00890AA8" w:rsidRDefault="00EF2D65" w:rsidP="00EF2D65">
            <w:pPr>
              <w:ind w:firstLine="0"/>
              <w:jc w:val="center"/>
              <w:rPr>
                <w:sz w:val="28"/>
                <w:szCs w:val="28"/>
                <w:highlight w:val="yellow"/>
              </w:rPr>
            </w:pPr>
            <w:r w:rsidRPr="00251B5A">
              <w:rPr>
                <w:sz w:val="28"/>
                <w:szCs w:val="28"/>
              </w:rPr>
              <w:t>64,7</w:t>
            </w:r>
          </w:p>
        </w:tc>
      </w:tr>
      <w:tr w:rsidR="00961AC6" w:rsidRPr="00890AA8" w:rsidTr="008A3DB8">
        <w:tc>
          <w:tcPr>
            <w:tcW w:w="3261" w:type="dxa"/>
            <w:tcBorders>
              <w:top w:val="single" w:sz="4" w:space="0" w:color="000000"/>
              <w:left w:val="single" w:sz="4" w:space="0" w:color="000000"/>
              <w:bottom w:val="single" w:sz="4" w:space="0" w:color="000000"/>
            </w:tcBorders>
          </w:tcPr>
          <w:p w:rsidR="00961AC6" w:rsidRPr="003050F0" w:rsidRDefault="00961AC6" w:rsidP="008A3DB8">
            <w:pPr>
              <w:ind w:firstLine="0"/>
              <w:rPr>
                <w:sz w:val="28"/>
                <w:szCs w:val="28"/>
              </w:rPr>
            </w:pPr>
            <w:r w:rsidRPr="003050F0">
              <w:rPr>
                <w:sz w:val="28"/>
                <w:szCs w:val="28"/>
              </w:rPr>
              <w:t>Ввод в действие жилых домов (квартир)</w:t>
            </w:r>
          </w:p>
        </w:tc>
        <w:tc>
          <w:tcPr>
            <w:tcW w:w="1417" w:type="dxa"/>
            <w:tcBorders>
              <w:top w:val="single" w:sz="4" w:space="0" w:color="000000"/>
              <w:left w:val="single" w:sz="4" w:space="0" w:color="000000"/>
              <w:bottom w:val="single" w:sz="4" w:space="0" w:color="000000"/>
              <w:right w:val="single" w:sz="4" w:space="0" w:color="000000"/>
            </w:tcBorders>
            <w:vAlign w:val="center"/>
          </w:tcPr>
          <w:p w:rsidR="00961AC6" w:rsidRPr="003050F0" w:rsidRDefault="00961AC6" w:rsidP="008A3DB8">
            <w:pPr>
              <w:ind w:firstLine="0"/>
              <w:jc w:val="center"/>
              <w:rPr>
                <w:sz w:val="28"/>
                <w:szCs w:val="28"/>
              </w:rPr>
            </w:pPr>
            <w:r w:rsidRPr="003050F0">
              <w:rPr>
                <w:sz w:val="28"/>
                <w:szCs w:val="28"/>
              </w:rPr>
              <w:t>тыс. кв. м</w:t>
            </w:r>
          </w:p>
        </w:tc>
        <w:tc>
          <w:tcPr>
            <w:tcW w:w="1276" w:type="dxa"/>
            <w:tcBorders>
              <w:top w:val="single" w:sz="4" w:space="0" w:color="000000"/>
              <w:left w:val="single" w:sz="4" w:space="0" w:color="000000"/>
              <w:bottom w:val="single" w:sz="4" w:space="0" w:color="000000"/>
            </w:tcBorders>
            <w:vAlign w:val="center"/>
          </w:tcPr>
          <w:p w:rsidR="00961AC6" w:rsidRPr="003050F0" w:rsidRDefault="001752BA" w:rsidP="008A3DB8">
            <w:pPr>
              <w:ind w:firstLine="0"/>
              <w:jc w:val="center"/>
              <w:rPr>
                <w:sz w:val="28"/>
                <w:szCs w:val="28"/>
              </w:rPr>
            </w:pPr>
            <w:r w:rsidRPr="003050F0">
              <w:rPr>
                <w:sz w:val="28"/>
                <w:szCs w:val="28"/>
              </w:rPr>
              <w:t>63,4</w:t>
            </w:r>
          </w:p>
        </w:tc>
        <w:tc>
          <w:tcPr>
            <w:tcW w:w="992" w:type="dxa"/>
            <w:tcBorders>
              <w:top w:val="single" w:sz="4" w:space="0" w:color="000000"/>
              <w:left w:val="single" w:sz="4" w:space="0" w:color="000000"/>
              <w:bottom w:val="single" w:sz="4" w:space="0" w:color="000000"/>
            </w:tcBorders>
            <w:vAlign w:val="center"/>
          </w:tcPr>
          <w:p w:rsidR="00961AC6" w:rsidRPr="003050F0" w:rsidRDefault="001752BA" w:rsidP="008A3DB8">
            <w:pPr>
              <w:ind w:firstLine="0"/>
              <w:jc w:val="center"/>
              <w:rPr>
                <w:sz w:val="28"/>
                <w:szCs w:val="28"/>
              </w:rPr>
            </w:pPr>
            <w:r w:rsidRPr="003050F0">
              <w:rPr>
                <w:sz w:val="28"/>
                <w:szCs w:val="28"/>
              </w:rPr>
              <w:t>128,6</w:t>
            </w:r>
          </w:p>
        </w:tc>
        <w:tc>
          <w:tcPr>
            <w:tcW w:w="1134" w:type="dxa"/>
            <w:tcBorders>
              <w:top w:val="single" w:sz="4" w:space="0" w:color="000000"/>
              <w:left w:val="single" w:sz="4" w:space="0" w:color="000000"/>
              <w:bottom w:val="single" w:sz="4" w:space="0" w:color="000000"/>
            </w:tcBorders>
            <w:vAlign w:val="center"/>
          </w:tcPr>
          <w:p w:rsidR="00961AC6" w:rsidRPr="003050F0" w:rsidRDefault="00F724E7" w:rsidP="008A3DB8">
            <w:pPr>
              <w:ind w:firstLine="0"/>
              <w:jc w:val="center"/>
              <w:rPr>
                <w:sz w:val="28"/>
                <w:szCs w:val="28"/>
              </w:rPr>
            </w:pPr>
            <w:r>
              <w:rPr>
                <w:sz w:val="28"/>
                <w:szCs w:val="28"/>
              </w:rPr>
              <w:t>41,9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C6" w:rsidRPr="003050F0" w:rsidRDefault="001752BA" w:rsidP="00823843">
            <w:pPr>
              <w:ind w:firstLine="0"/>
              <w:jc w:val="center"/>
              <w:rPr>
                <w:sz w:val="28"/>
                <w:szCs w:val="28"/>
              </w:rPr>
            </w:pPr>
            <w:r w:rsidRPr="003050F0">
              <w:rPr>
                <w:sz w:val="28"/>
                <w:szCs w:val="28"/>
              </w:rPr>
              <w:t>13</w:t>
            </w:r>
            <w:r w:rsidR="00823843">
              <w:rPr>
                <w:sz w:val="28"/>
                <w:szCs w:val="28"/>
              </w:rPr>
              <w:t>3</w:t>
            </w:r>
            <w:r w:rsidRPr="003050F0">
              <w:rPr>
                <w:sz w:val="28"/>
                <w:szCs w:val="28"/>
              </w:rPr>
              <w:t>,0</w:t>
            </w:r>
          </w:p>
        </w:tc>
      </w:tr>
      <w:tr w:rsidR="00961AC6" w:rsidRPr="00890AA8" w:rsidTr="00251B5A">
        <w:tc>
          <w:tcPr>
            <w:tcW w:w="3261" w:type="dxa"/>
            <w:tcBorders>
              <w:top w:val="single" w:sz="4" w:space="0" w:color="000000"/>
              <w:left w:val="single" w:sz="4" w:space="0" w:color="000000"/>
              <w:bottom w:val="single" w:sz="4" w:space="0" w:color="000000"/>
            </w:tcBorders>
            <w:shd w:val="clear" w:color="auto" w:fill="auto"/>
          </w:tcPr>
          <w:p w:rsidR="00961AC6" w:rsidRPr="00251B5A" w:rsidRDefault="00961AC6" w:rsidP="008A3DB8">
            <w:pPr>
              <w:ind w:firstLine="0"/>
              <w:rPr>
                <w:sz w:val="28"/>
                <w:szCs w:val="28"/>
              </w:rPr>
            </w:pPr>
            <w:r w:rsidRPr="00251B5A">
              <w:rPr>
                <w:sz w:val="28"/>
                <w:szCs w:val="28"/>
              </w:rPr>
              <w:t>Уровень официальной безработицы относительно населения в трудоспособном возрасте (среднегодовой)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C6" w:rsidRPr="00251B5A" w:rsidRDefault="00961AC6" w:rsidP="008A3DB8">
            <w:pPr>
              <w:ind w:firstLine="0"/>
              <w:jc w:val="center"/>
              <w:rPr>
                <w:sz w:val="28"/>
                <w:szCs w:val="28"/>
              </w:rPr>
            </w:pPr>
            <w:r w:rsidRPr="00251B5A">
              <w:rPr>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961AC6" w:rsidRPr="00660740" w:rsidRDefault="00251B5A" w:rsidP="008A3DB8">
            <w:pPr>
              <w:ind w:firstLine="0"/>
              <w:jc w:val="center"/>
              <w:rPr>
                <w:sz w:val="28"/>
                <w:szCs w:val="28"/>
              </w:rPr>
            </w:pPr>
            <w:r w:rsidRPr="00660740">
              <w:rPr>
                <w:sz w:val="28"/>
                <w:szCs w:val="28"/>
              </w:rPr>
              <w:t>1,47</w:t>
            </w:r>
          </w:p>
        </w:tc>
        <w:tc>
          <w:tcPr>
            <w:tcW w:w="992" w:type="dxa"/>
            <w:tcBorders>
              <w:top w:val="single" w:sz="4" w:space="0" w:color="000000"/>
              <w:left w:val="single" w:sz="4" w:space="0" w:color="000000"/>
              <w:bottom w:val="single" w:sz="4" w:space="0" w:color="000000"/>
            </w:tcBorders>
            <w:shd w:val="clear" w:color="auto" w:fill="auto"/>
            <w:vAlign w:val="center"/>
          </w:tcPr>
          <w:p w:rsidR="00961AC6" w:rsidRPr="00660740" w:rsidRDefault="00660740" w:rsidP="008A3DB8">
            <w:pPr>
              <w:ind w:firstLine="0"/>
              <w:jc w:val="center"/>
              <w:rPr>
                <w:sz w:val="28"/>
                <w:szCs w:val="28"/>
              </w:rPr>
            </w:pPr>
            <w:r w:rsidRPr="00660740">
              <w:rPr>
                <w:sz w:val="28"/>
                <w:szCs w:val="28"/>
              </w:rPr>
              <w:t>1,79</w:t>
            </w:r>
          </w:p>
        </w:tc>
        <w:tc>
          <w:tcPr>
            <w:tcW w:w="1134" w:type="dxa"/>
            <w:tcBorders>
              <w:top w:val="single" w:sz="4" w:space="0" w:color="000000"/>
              <w:left w:val="single" w:sz="4" w:space="0" w:color="000000"/>
              <w:bottom w:val="single" w:sz="4" w:space="0" w:color="000000"/>
            </w:tcBorders>
            <w:vAlign w:val="center"/>
          </w:tcPr>
          <w:p w:rsidR="00961AC6" w:rsidRPr="00660740" w:rsidRDefault="00251B5A" w:rsidP="008A3DB8">
            <w:pPr>
              <w:ind w:firstLine="0"/>
              <w:jc w:val="center"/>
              <w:rPr>
                <w:sz w:val="28"/>
                <w:szCs w:val="28"/>
              </w:rPr>
            </w:pPr>
            <w:r w:rsidRPr="00660740">
              <w:rPr>
                <w:sz w:val="28"/>
                <w:szCs w:val="28"/>
              </w:rPr>
              <w:t>0,81</w:t>
            </w:r>
          </w:p>
        </w:tc>
        <w:tc>
          <w:tcPr>
            <w:tcW w:w="1418" w:type="dxa"/>
            <w:tcBorders>
              <w:top w:val="single" w:sz="4" w:space="0" w:color="000000"/>
              <w:left w:val="single" w:sz="4" w:space="0" w:color="000000"/>
              <w:bottom w:val="single" w:sz="4" w:space="0" w:color="000000"/>
              <w:right w:val="single" w:sz="4" w:space="0" w:color="000000"/>
            </w:tcBorders>
            <w:vAlign w:val="center"/>
          </w:tcPr>
          <w:p w:rsidR="00961AC6" w:rsidRPr="00660740" w:rsidRDefault="00660740" w:rsidP="008A3DB8">
            <w:pPr>
              <w:ind w:firstLine="0"/>
              <w:jc w:val="center"/>
              <w:rPr>
                <w:sz w:val="28"/>
                <w:szCs w:val="28"/>
              </w:rPr>
            </w:pPr>
            <w:r w:rsidRPr="00660740">
              <w:rPr>
                <w:sz w:val="28"/>
                <w:szCs w:val="28"/>
              </w:rPr>
              <w:t>0,79</w:t>
            </w:r>
          </w:p>
        </w:tc>
      </w:tr>
      <w:tr w:rsidR="00961AC6" w:rsidRPr="00890AA8" w:rsidTr="008A3DB8">
        <w:tc>
          <w:tcPr>
            <w:tcW w:w="3261" w:type="dxa"/>
            <w:tcBorders>
              <w:top w:val="single" w:sz="4" w:space="0" w:color="000000"/>
              <w:left w:val="single" w:sz="4" w:space="0" w:color="000000"/>
              <w:bottom w:val="single" w:sz="4" w:space="0" w:color="000000"/>
            </w:tcBorders>
          </w:tcPr>
          <w:p w:rsidR="00961AC6" w:rsidRPr="00251B5A" w:rsidRDefault="00961AC6" w:rsidP="008A3DB8">
            <w:pPr>
              <w:ind w:firstLine="0"/>
              <w:rPr>
                <w:sz w:val="28"/>
                <w:szCs w:val="28"/>
              </w:rPr>
            </w:pPr>
            <w:r w:rsidRPr="00251B5A">
              <w:rPr>
                <w:sz w:val="28"/>
                <w:szCs w:val="28"/>
              </w:rPr>
              <w:t>Среднемесячная номинальная начисленная заработная плата работников организаций</w:t>
            </w:r>
            <w:r w:rsidR="00251B5A">
              <w:rPr>
                <w:sz w:val="28"/>
                <w:szCs w:val="28"/>
              </w:rPr>
              <w:t>, не относящихся к субъектам малого предпринимательства</w:t>
            </w:r>
            <w:r w:rsidR="00251B5A">
              <w:rPr>
                <w:sz w:val="28"/>
                <w:szCs w:val="28"/>
                <w:vertAlign w:val="superscript"/>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61AC6" w:rsidRPr="00251B5A" w:rsidRDefault="004B5FAC" w:rsidP="008A3DB8">
            <w:pPr>
              <w:ind w:firstLine="0"/>
              <w:jc w:val="center"/>
              <w:rPr>
                <w:sz w:val="28"/>
                <w:szCs w:val="28"/>
              </w:rPr>
            </w:pPr>
            <w:r>
              <w:rPr>
                <w:sz w:val="28"/>
                <w:szCs w:val="28"/>
              </w:rPr>
              <w:t>р</w:t>
            </w:r>
            <w:r w:rsidR="00961AC6" w:rsidRPr="00251B5A">
              <w:rPr>
                <w:sz w:val="28"/>
                <w:szCs w:val="28"/>
              </w:rPr>
              <w:t>уб</w:t>
            </w:r>
            <w:r w:rsidR="00102CE7">
              <w:rPr>
                <w:sz w:val="28"/>
                <w:szCs w:val="28"/>
              </w:rPr>
              <w:t>лей</w:t>
            </w:r>
          </w:p>
        </w:tc>
        <w:tc>
          <w:tcPr>
            <w:tcW w:w="1276" w:type="dxa"/>
            <w:tcBorders>
              <w:top w:val="single" w:sz="4" w:space="0" w:color="000000"/>
              <w:left w:val="single" w:sz="4" w:space="0" w:color="000000"/>
              <w:bottom w:val="single" w:sz="4" w:space="0" w:color="000000"/>
            </w:tcBorders>
            <w:vAlign w:val="center"/>
          </w:tcPr>
          <w:p w:rsidR="00961AC6" w:rsidRPr="00251B5A" w:rsidRDefault="00251B5A" w:rsidP="008A3DB8">
            <w:pPr>
              <w:ind w:firstLine="0"/>
              <w:jc w:val="center"/>
              <w:rPr>
                <w:sz w:val="28"/>
                <w:szCs w:val="28"/>
              </w:rPr>
            </w:pPr>
            <w:r>
              <w:rPr>
                <w:sz w:val="28"/>
                <w:szCs w:val="28"/>
              </w:rPr>
              <w:t>44414</w:t>
            </w:r>
          </w:p>
        </w:tc>
        <w:tc>
          <w:tcPr>
            <w:tcW w:w="992" w:type="dxa"/>
            <w:tcBorders>
              <w:top w:val="single" w:sz="4" w:space="0" w:color="000000"/>
              <w:left w:val="single" w:sz="4" w:space="0" w:color="000000"/>
              <w:bottom w:val="single" w:sz="4" w:space="0" w:color="000000"/>
            </w:tcBorders>
            <w:vAlign w:val="center"/>
          </w:tcPr>
          <w:p w:rsidR="00961AC6" w:rsidRPr="00251B5A" w:rsidRDefault="00251B5A" w:rsidP="008A3DB8">
            <w:pPr>
              <w:ind w:firstLine="0"/>
              <w:jc w:val="center"/>
              <w:rPr>
                <w:sz w:val="28"/>
                <w:szCs w:val="28"/>
              </w:rPr>
            </w:pPr>
            <w:r>
              <w:rPr>
                <w:sz w:val="28"/>
                <w:szCs w:val="28"/>
              </w:rPr>
              <w:t>47060</w:t>
            </w:r>
          </w:p>
        </w:tc>
        <w:tc>
          <w:tcPr>
            <w:tcW w:w="1134" w:type="dxa"/>
            <w:tcBorders>
              <w:top w:val="single" w:sz="4" w:space="0" w:color="000000"/>
              <w:left w:val="single" w:sz="4" w:space="0" w:color="000000"/>
              <w:bottom w:val="single" w:sz="4" w:space="0" w:color="000000"/>
            </w:tcBorders>
            <w:vAlign w:val="center"/>
          </w:tcPr>
          <w:p w:rsidR="00961AC6" w:rsidRPr="00890AA8" w:rsidRDefault="00251B5A" w:rsidP="008A3DB8">
            <w:pPr>
              <w:ind w:firstLine="0"/>
              <w:jc w:val="center"/>
              <w:rPr>
                <w:sz w:val="28"/>
                <w:szCs w:val="28"/>
                <w:highlight w:val="yellow"/>
              </w:rPr>
            </w:pPr>
            <w:r w:rsidRPr="00251B5A">
              <w:rPr>
                <w:sz w:val="28"/>
                <w:szCs w:val="28"/>
              </w:rPr>
              <w:t>49196</w:t>
            </w:r>
          </w:p>
        </w:tc>
        <w:tc>
          <w:tcPr>
            <w:tcW w:w="1418" w:type="dxa"/>
            <w:tcBorders>
              <w:top w:val="single" w:sz="4" w:space="0" w:color="000000"/>
              <w:left w:val="single" w:sz="4" w:space="0" w:color="000000"/>
              <w:bottom w:val="single" w:sz="4" w:space="0" w:color="000000"/>
              <w:right w:val="single" w:sz="4" w:space="0" w:color="000000"/>
            </w:tcBorders>
            <w:vAlign w:val="center"/>
          </w:tcPr>
          <w:p w:rsidR="00961AC6" w:rsidRPr="00890AA8" w:rsidRDefault="00251B5A" w:rsidP="008A3DB8">
            <w:pPr>
              <w:ind w:firstLine="0"/>
              <w:jc w:val="center"/>
              <w:rPr>
                <w:sz w:val="28"/>
                <w:szCs w:val="28"/>
                <w:highlight w:val="yellow"/>
              </w:rPr>
            </w:pPr>
            <w:r w:rsidRPr="00660740">
              <w:rPr>
                <w:sz w:val="28"/>
                <w:szCs w:val="28"/>
              </w:rPr>
              <w:t>50440</w:t>
            </w:r>
          </w:p>
        </w:tc>
      </w:tr>
      <w:tr w:rsidR="00961AC6" w:rsidRPr="00890AA8" w:rsidTr="008A3DB8">
        <w:tc>
          <w:tcPr>
            <w:tcW w:w="3261" w:type="dxa"/>
            <w:tcBorders>
              <w:top w:val="single" w:sz="4" w:space="0" w:color="000000"/>
              <w:left w:val="single" w:sz="4" w:space="0" w:color="000000"/>
              <w:bottom w:val="single" w:sz="4" w:space="0" w:color="000000"/>
            </w:tcBorders>
          </w:tcPr>
          <w:p w:rsidR="00961AC6" w:rsidRPr="003050F0" w:rsidRDefault="00961AC6" w:rsidP="008A3DB8">
            <w:pPr>
              <w:ind w:firstLine="0"/>
              <w:rPr>
                <w:sz w:val="28"/>
                <w:szCs w:val="28"/>
              </w:rPr>
            </w:pPr>
            <w:r w:rsidRPr="003050F0">
              <w:rPr>
                <w:sz w:val="28"/>
                <w:szCs w:val="28"/>
              </w:rPr>
              <w:t>Оборот розничной торговли</w:t>
            </w:r>
            <w:r w:rsidRPr="003050F0">
              <w:rPr>
                <w:sz w:val="28"/>
                <w:szCs w:val="28"/>
                <w:vertAlign w:val="superscript"/>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61AC6" w:rsidRPr="003050F0" w:rsidRDefault="00EF2D65" w:rsidP="008A3DB8">
            <w:pPr>
              <w:ind w:firstLine="0"/>
              <w:jc w:val="center"/>
              <w:rPr>
                <w:sz w:val="28"/>
                <w:szCs w:val="28"/>
              </w:rPr>
            </w:pPr>
            <w:r w:rsidRPr="00BC36B0">
              <w:rPr>
                <w:sz w:val="28"/>
                <w:szCs w:val="28"/>
              </w:rPr>
              <w:t>млрд. руб</w:t>
            </w:r>
            <w:r>
              <w:rPr>
                <w:sz w:val="28"/>
                <w:szCs w:val="28"/>
              </w:rPr>
              <w:t>лей</w:t>
            </w:r>
          </w:p>
        </w:tc>
        <w:tc>
          <w:tcPr>
            <w:tcW w:w="1276" w:type="dxa"/>
            <w:tcBorders>
              <w:top w:val="single" w:sz="4" w:space="0" w:color="000000"/>
              <w:left w:val="single" w:sz="4" w:space="0" w:color="000000"/>
              <w:bottom w:val="single" w:sz="4" w:space="0" w:color="000000"/>
            </w:tcBorders>
            <w:vAlign w:val="center"/>
          </w:tcPr>
          <w:p w:rsidR="00961AC6" w:rsidRPr="003050F0" w:rsidRDefault="003050F0" w:rsidP="008A3DB8">
            <w:pPr>
              <w:ind w:firstLine="0"/>
              <w:jc w:val="center"/>
              <w:rPr>
                <w:sz w:val="28"/>
                <w:szCs w:val="28"/>
              </w:rPr>
            </w:pPr>
            <w:r w:rsidRPr="003050F0">
              <w:rPr>
                <w:sz w:val="28"/>
                <w:szCs w:val="28"/>
              </w:rPr>
              <w:t>92,0</w:t>
            </w:r>
          </w:p>
        </w:tc>
        <w:tc>
          <w:tcPr>
            <w:tcW w:w="992" w:type="dxa"/>
            <w:tcBorders>
              <w:top w:val="single" w:sz="4" w:space="0" w:color="000000"/>
              <w:left w:val="single" w:sz="4" w:space="0" w:color="000000"/>
              <w:bottom w:val="single" w:sz="4" w:space="0" w:color="000000"/>
            </w:tcBorders>
            <w:vAlign w:val="center"/>
          </w:tcPr>
          <w:p w:rsidR="00961AC6" w:rsidRPr="003050F0" w:rsidRDefault="003050F0" w:rsidP="008A3DB8">
            <w:pPr>
              <w:ind w:firstLine="0"/>
              <w:jc w:val="center"/>
              <w:rPr>
                <w:sz w:val="28"/>
                <w:szCs w:val="28"/>
              </w:rPr>
            </w:pPr>
            <w:r w:rsidRPr="003050F0">
              <w:rPr>
                <w:sz w:val="28"/>
                <w:szCs w:val="28"/>
              </w:rPr>
              <w:t>193,8</w:t>
            </w:r>
          </w:p>
        </w:tc>
        <w:tc>
          <w:tcPr>
            <w:tcW w:w="1134" w:type="dxa"/>
            <w:tcBorders>
              <w:top w:val="single" w:sz="4" w:space="0" w:color="000000"/>
              <w:left w:val="single" w:sz="4" w:space="0" w:color="000000"/>
              <w:bottom w:val="single" w:sz="4" w:space="0" w:color="000000"/>
            </w:tcBorders>
            <w:shd w:val="clear" w:color="auto" w:fill="auto"/>
            <w:vAlign w:val="center"/>
          </w:tcPr>
          <w:p w:rsidR="00961AC6" w:rsidRPr="003050F0" w:rsidRDefault="003050F0" w:rsidP="008A3DB8">
            <w:pPr>
              <w:ind w:firstLine="0"/>
              <w:jc w:val="center"/>
              <w:rPr>
                <w:sz w:val="28"/>
                <w:szCs w:val="28"/>
              </w:rPr>
            </w:pPr>
            <w:r w:rsidRPr="003050F0">
              <w:rPr>
                <w:sz w:val="28"/>
                <w:szCs w:val="28"/>
              </w:rPr>
              <w:t>99,6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C6" w:rsidRPr="003050F0" w:rsidRDefault="003050F0" w:rsidP="008A3DB8">
            <w:pPr>
              <w:ind w:firstLine="0"/>
              <w:jc w:val="center"/>
              <w:rPr>
                <w:sz w:val="28"/>
                <w:szCs w:val="28"/>
              </w:rPr>
            </w:pPr>
            <w:r w:rsidRPr="003050F0">
              <w:rPr>
                <w:sz w:val="28"/>
                <w:szCs w:val="28"/>
              </w:rPr>
              <w:t>200,7</w:t>
            </w:r>
          </w:p>
        </w:tc>
      </w:tr>
    </w:tbl>
    <w:p w:rsidR="00700331" w:rsidRPr="007F1DA1" w:rsidRDefault="00700331" w:rsidP="00C90084">
      <w:pPr>
        <w:pStyle w:val="afb"/>
        <w:widowControl w:val="0"/>
        <w:numPr>
          <w:ilvl w:val="0"/>
          <w:numId w:val="3"/>
        </w:numPr>
        <w:suppressAutoHyphens w:val="0"/>
        <w:spacing w:line="276" w:lineRule="auto"/>
        <w:ind w:left="0" w:firstLine="0"/>
        <w:rPr>
          <w:szCs w:val="24"/>
          <w:shd w:val="clear" w:color="auto" w:fill="FFFFFF"/>
        </w:rPr>
      </w:pPr>
      <w:r w:rsidRPr="007F1DA1">
        <w:rPr>
          <w:szCs w:val="24"/>
          <w:shd w:val="clear" w:color="auto" w:fill="FFFFFF"/>
          <w:vertAlign w:val="superscript"/>
        </w:rPr>
        <w:t xml:space="preserve">1 </w:t>
      </w:r>
      <w:r w:rsidRPr="007F1DA1">
        <w:rPr>
          <w:szCs w:val="24"/>
          <w:shd w:val="clear" w:color="auto" w:fill="FFFFFF"/>
        </w:rPr>
        <w:t>– по организациям, не относящимся к субъектам малого предпринимательства;</w:t>
      </w:r>
    </w:p>
    <w:p w:rsidR="00D401F2" w:rsidRPr="007F1DA1" w:rsidRDefault="00700331" w:rsidP="00C90084">
      <w:pPr>
        <w:pStyle w:val="afb"/>
        <w:widowControl w:val="0"/>
        <w:numPr>
          <w:ilvl w:val="0"/>
          <w:numId w:val="3"/>
        </w:numPr>
        <w:suppressAutoHyphens w:val="0"/>
        <w:spacing w:line="276" w:lineRule="auto"/>
        <w:ind w:left="0" w:firstLine="0"/>
        <w:rPr>
          <w:szCs w:val="24"/>
          <w:shd w:val="clear" w:color="auto" w:fill="FFFFFF"/>
        </w:rPr>
      </w:pPr>
      <w:r w:rsidRPr="007F1DA1">
        <w:rPr>
          <w:szCs w:val="24"/>
          <w:shd w:val="clear" w:color="auto" w:fill="FFFFFF"/>
          <w:vertAlign w:val="superscript"/>
        </w:rPr>
        <w:t>2</w:t>
      </w:r>
      <w:r w:rsidRPr="007F1DA1">
        <w:rPr>
          <w:szCs w:val="24"/>
          <w:shd w:val="clear" w:color="auto" w:fill="FFFFFF"/>
        </w:rPr>
        <w:t xml:space="preserve"> –</w:t>
      </w:r>
      <w:r w:rsidR="00D401F2" w:rsidRPr="007F1DA1">
        <w:rPr>
          <w:szCs w:val="24"/>
          <w:shd w:val="clear" w:color="auto" w:fill="FFFFFF"/>
        </w:rPr>
        <w:t xml:space="preserve"> </w:t>
      </w:r>
      <w:r w:rsidR="00261A6E" w:rsidRPr="007F1DA1">
        <w:rPr>
          <w:szCs w:val="24"/>
          <w:shd w:val="clear" w:color="auto" w:fill="FFFFFF"/>
        </w:rPr>
        <w:t>с учетом инвестиций резидентов ТОСЭР «Тольятти»</w:t>
      </w:r>
      <w:r w:rsidR="00C44F6A" w:rsidRPr="007F1DA1">
        <w:rPr>
          <w:szCs w:val="24"/>
          <w:shd w:val="clear" w:color="auto" w:fill="FFFFFF"/>
        </w:rPr>
        <w:t xml:space="preserve"> и ОЭЗ ППТ «Тольятти»</w:t>
      </w:r>
      <w:r w:rsidR="00D401F2" w:rsidRPr="007F1DA1">
        <w:rPr>
          <w:szCs w:val="24"/>
          <w:shd w:val="clear" w:color="auto" w:fill="FFFFFF"/>
        </w:rPr>
        <w:t>;</w:t>
      </w:r>
      <w:r w:rsidR="00493FC3" w:rsidRPr="007F1DA1">
        <w:rPr>
          <w:szCs w:val="24"/>
          <w:shd w:val="clear" w:color="auto" w:fill="FFFFFF"/>
        </w:rPr>
        <w:t xml:space="preserve"> </w:t>
      </w:r>
    </w:p>
    <w:p w:rsidR="00C90084" w:rsidRPr="00823843" w:rsidRDefault="001D3079" w:rsidP="00C90084">
      <w:pPr>
        <w:pStyle w:val="afb"/>
        <w:widowControl w:val="0"/>
        <w:numPr>
          <w:ilvl w:val="0"/>
          <w:numId w:val="3"/>
        </w:numPr>
        <w:suppressAutoHyphens w:val="0"/>
        <w:spacing w:line="276" w:lineRule="auto"/>
        <w:ind w:left="0" w:firstLine="0"/>
        <w:rPr>
          <w:szCs w:val="24"/>
          <w:shd w:val="clear" w:color="auto" w:fill="FFFFFF"/>
        </w:rPr>
      </w:pPr>
      <w:r w:rsidRPr="00823843">
        <w:rPr>
          <w:szCs w:val="24"/>
          <w:shd w:val="clear" w:color="auto" w:fill="FFFFFF"/>
          <w:vertAlign w:val="superscript"/>
        </w:rPr>
        <w:t>3</w:t>
      </w:r>
      <w:r w:rsidR="00C90084" w:rsidRPr="00823843">
        <w:rPr>
          <w:szCs w:val="24"/>
          <w:shd w:val="clear" w:color="auto" w:fill="FFFFFF"/>
        </w:rPr>
        <w:t xml:space="preserve"> – по полному кругу организаций.</w:t>
      </w:r>
    </w:p>
    <w:p w:rsidR="00B43D7D" w:rsidRPr="00890AA8" w:rsidRDefault="00B43D7D" w:rsidP="006C4A01">
      <w:pPr>
        <w:spacing w:line="276" w:lineRule="auto"/>
        <w:jc w:val="center"/>
        <w:rPr>
          <w:b/>
          <w:sz w:val="28"/>
          <w:szCs w:val="28"/>
          <w:highlight w:val="yellow"/>
        </w:rPr>
      </w:pPr>
    </w:p>
    <w:p w:rsidR="006C4A01" w:rsidRPr="00113A88" w:rsidRDefault="006C4A01" w:rsidP="00B61BB0">
      <w:pPr>
        <w:keepNext/>
        <w:spacing w:line="276" w:lineRule="auto"/>
        <w:ind w:firstLine="0"/>
        <w:jc w:val="center"/>
        <w:rPr>
          <w:b/>
          <w:sz w:val="28"/>
          <w:szCs w:val="28"/>
        </w:rPr>
      </w:pPr>
      <w:r w:rsidRPr="00113A88">
        <w:rPr>
          <w:b/>
          <w:sz w:val="28"/>
          <w:szCs w:val="28"/>
        </w:rPr>
        <w:lastRenderedPageBreak/>
        <w:t>Индекс потребительских цен</w:t>
      </w:r>
    </w:p>
    <w:p w:rsidR="00B23793" w:rsidRPr="00890AA8" w:rsidRDefault="00B23793" w:rsidP="00974690">
      <w:pPr>
        <w:keepNext/>
        <w:suppressAutoHyphens w:val="0"/>
        <w:spacing w:line="276" w:lineRule="auto"/>
        <w:rPr>
          <w:sz w:val="28"/>
          <w:szCs w:val="28"/>
          <w:highlight w:val="yellow"/>
          <w:lang w:eastAsia="ru-RU"/>
        </w:rPr>
      </w:pPr>
    </w:p>
    <w:p w:rsidR="001752BA" w:rsidRPr="00985E8C" w:rsidRDefault="001752BA" w:rsidP="00BA753B">
      <w:pPr>
        <w:keepNext/>
        <w:suppressAutoHyphens w:val="0"/>
        <w:spacing w:line="276" w:lineRule="auto"/>
        <w:rPr>
          <w:sz w:val="28"/>
          <w:szCs w:val="28"/>
          <w:lang w:eastAsia="ru-RU"/>
        </w:rPr>
      </w:pPr>
      <w:r w:rsidRPr="00985E8C">
        <w:rPr>
          <w:sz w:val="28"/>
          <w:szCs w:val="28"/>
          <w:lang w:eastAsia="ru-RU"/>
        </w:rPr>
        <w:t xml:space="preserve">В 2022 году наблюдается ускорение темпов роста цен на товары и услуги, вследствие негативного влияния </w:t>
      </w:r>
      <w:r w:rsidR="001D115E">
        <w:rPr>
          <w:sz w:val="28"/>
          <w:szCs w:val="28"/>
          <w:lang w:eastAsia="ru-RU"/>
        </w:rPr>
        <w:t>введенных против Российской Федерации экономических санкций</w:t>
      </w:r>
      <w:r w:rsidRPr="00985E8C">
        <w:rPr>
          <w:sz w:val="28"/>
          <w:szCs w:val="28"/>
          <w:lang w:eastAsia="ru-RU"/>
        </w:rPr>
        <w:t xml:space="preserve">. </w:t>
      </w:r>
      <w:r w:rsidRPr="00985E8C">
        <w:rPr>
          <w:rFonts w:eastAsia="Calibri"/>
          <w:sz w:val="28"/>
          <w:szCs w:val="28"/>
          <w:lang w:eastAsia="ru-RU"/>
        </w:rPr>
        <w:t>По данным Территориального органа федеральной службы государственной статистики по Самарской области</w:t>
      </w:r>
      <w:r w:rsidRPr="00985E8C">
        <w:rPr>
          <w:sz w:val="28"/>
          <w:szCs w:val="28"/>
          <w:lang w:eastAsia="en-US"/>
        </w:rPr>
        <w:t xml:space="preserve"> (далее – Самарастат) в</w:t>
      </w:r>
      <w:r w:rsidRPr="00985E8C">
        <w:rPr>
          <w:sz w:val="28"/>
          <w:szCs w:val="28"/>
          <w:lang w:eastAsia="ru-RU"/>
        </w:rPr>
        <w:t xml:space="preserve"> июне текущего года индекс потребительских цен Самарской области составил 111,7% к декабрю 2021 года, что незначительно выше среднероссийского уровня (111,4%).</w:t>
      </w:r>
    </w:p>
    <w:p w:rsidR="001752BA" w:rsidRPr="00985E8C" w:rsidRDefault="001752BA" w:rsidP="00BA753B">
      <w:pPr>
        <w:suppressAutoHyphens w:val="0"/>
        <w:autoSpaceDE w:val="0"/>
        <w:autoSpaceDN w:val="0"/>
        <w:adjustRightInd w:val="0"/>
        <w:spacing w:line="276" w:lineRule="auto"/>
        <w:rPr>
          <w:rFonts w:eastAsiaTheme="minorEastAsia"/>
          <w:sz w:val="28"/>
          <w:szCs w:val="28"/>
          <w:lang w:eastAsia="ru-RU"/>
        </w:rPr>
      </w:pPr>
      <w:r w:rsidRPr="00985E8C">
        <w:rPr>
          <w:rFonts w:eastAsiaTheme="minorEastAsia"/>
          <w:sz w:val="28"/>
          <w:szCs w:val="28"/>
          <w:lang w:eastAsia="ru-RU"/>
        </w:rPr>
        <w:t xml:space="preserve">Цены на продовольственные товары в </w:t>
      </w:r>
      <w:r w:rsidRPr="00985E8C">
        <w:rPr>
          <w:rFonts w:eastAsiaTheme="minorEastAsia"/>
          <w:sz w:val="28"/>
          <w:szCs w:val="28"/>
          <w:lang w:val="en-US" w:eastAsia="ru-RU"/>
        </w:rPr>
        <w:t>I</w:t>
      </w:r>
      <w:r w:rsidRPr="00985E8C">
        <w:rPr>
          <w:rFonts w:eastAsiaTheme="minorEastAsia"/>
          <w:sz w:val="28"/>
          <w:szCs w:val="28"/>
          <w:lang w:eastAsia="ru-RU"/>
        </w:rPr>
        <w:t xml:space="preserve"> полугодии 2022 года повысились в среднем на 12,8%, на непродовольственные товары – </w:t>
      </w:r>
      <w:r w:rsidR="001D115E">
        <w:rPr>
          <w:rFonts w:eastAsiaTheme="minorEastAsia"/>
          <w:sz w:val="28"/>
          <w:szCs w:val="28"/>
          <w:lang w:eastAsia="ru-RU"/>
        </w:rPr>
        <w:t xml:space="preserve">на </w:t>
      </w:r>
      <w:r w:rsidRPr="00985E8C">
        <w:rPr>
          <w:rFonts w:eastAsiaTheme="minorEastAsia"/>
          <w:sz w:val="28"/>
          <w:szCs w:val="28"/>
          <w:lang w:eastAsia="ru-RU"/>
        </w:rPr>
        <w:t>15</w:t>
      </w:r>
      <w:r w:rsidR="00EF2D65">
        <w:rPr>
          <w:rFonts w:eastAsiaTheme="minorEastAsia"/>
          <w:sz w:val="28"/>
          <w:szCs w:val="28"/>
          <w:lang w:eastAsia="ru-RU"/>
        </w:rPr>
        <w:t>,0</w:t>
      </w:r>
      <w:r w:rsidRPr="00985E8C">
        <w:rPr>
          <w:rFonts w:eastAsiaTheme="minorEastAsia"/>
          <w:sz w:val="28"/>
          <w:szCs w:val="28"/>
          <w:lang w:eastAsia="ru-RU"/>
        </w:rPr>
        <w:t>% и платные услуги — на 5,6%.</w:t>
      </w:r>
    </w:p>
    <w:p w:rsidR="001752BA" w:rsidRPr="00985E8C" w:rsidRDefault="001752BA" w:rsidP="00BA753B">
      <w:pPr>
        <w:suppressAutoHyphens w:val="0"/>
        <w:autoSpaceDE w:val="0"/>
        <w:autoSpaceDN w:val="0"/>
        <w:adjustRightInd w:val="0"/>
        <w:spacing w:line="276" w:lineRule="auto"/>
        <w:rPr>
          <w:rFonts w:eastAsiaTheme="minorEastAsia"/>
          <w:sz w:val="28"/>
          <w:szCs w:val="28"/>
          <w:lang w:eastAsia="ru-RU"/>
        </w:rPr>
      </w:pPr>
      <w:r w:rsidRPr="00985E8C">
        <w:rPr>
          <w:rFonts w:eastAsiaTheme="minorEastAsia"/>
          <w:sz w:val="28"/>
          <w:szCs w:val="28"/>
          <w:lang w:eastAsia="ru-RU"/>
        </w:rPr>
        <w:t>Так, мясо и птица подорожали на 5,6%, рыба и морепродукты - на 13</w:t>
      </w:r>
      <w:r w:rsidR="00EF2D65">
        <w:rPr>
          <w:rFonts w:eastAsiaTheme="minorEastAsia"/>
          <w:sz w:val="28"/>
          <w:szCs w:val="28"/>
          <w:lang w:eastAsia="ru-RU"/>
        </w:rPr>
        <w:t>,0</w:t>
      </w:r>
      <w:r w:rsidRPr="00985E8C">
        <w:rPr>
          <w:rFonts w:eastAsiaTheme="minorEastAsia"/>
          <w:sz w:val="28"/>
          <w:szCs w:val="28"/>
          <w:lang w:eastAsia="ru-RU"/>
        </w:rPr>
        <w:t>%, молоко и молочная продукция – на 18,2%, хлеб и хлебобулочные изделия – на 10,9%, плодоовощная продукция, включая картофель – на 16,9%. Продолжилось увеличение розничных цен на автомобильное топливо. Снижение цен наблюдалось на яйца – на 21,9%.</w:t>
      </w:r>
    </w:p>
    <w:p w:rsidR="001752BA" w:rsidRPr="00985E8C" w:rsidRDefault="001752BA" w:rsidP="00BA753B">
      <w:pPr>
        <w:suppressAutoHyphens w:val="0"/>
        <w:spacing w:line="276" w:lineRule="auto"/>
        <w:rPr>
          <w:rFonts w:eastAsiaTheme="minorEastAsia"/>
          <w:sz w:val="28"/>
          <w:szCs w:val="28"/>
          <w:lang w:eastAsia="ru-RU"/>
        </w:rPr>
      </w:pPr>
      <w:r w:rsidRPr="00985E8C">
        <w:rPr>
          <w:rFonts w:eastAsiaTheme="minorEastAsia"/>
          <w:sz w:val="28"/>
          <w:szCs w:val="28"/>
          <w:lang w:eastAsia="ru-RU"/>
        </w:rPr>
        <w:t>Стоимость условного (минимального) набора продуктов питания в июне 2022 года составила в городском округе Тольятти 5 606,1 рубл</w:t>
      </w:r>
      <w:r w:rsidR="00D10EC9">
        <w:rPr>
          <w:rFonts w:eastAsiaTheme="minorEastAsia"/>
          <w:sz w:val="28"/>
          <w:szCs w:val="28"/>
          <w:lang w:eastAsia="ru-RU"/>
        </w:rPr>
        <w:t>ей</w:t>
      </w:r>
      <w:r w:rsidRPr="00985E8C">
        <w:rPr>
          <w:rFonts w:eastAsiaTheme="minorEastAsia"/>
          <w:sz w:val="28"/>
          <w:szCs w:val="28"/>
          <w:lang w:eastAsia="ru-RU"/>
        </w:rPr>
        <w:t xml:space="preserve"> в расчете на месяц, что ниже, чем в целом по Самарской области на 96,7 рублей (для сравнения, в среднем по Российской Федерации стоимость минимального набора продуктов питания составила 6 191,3 рублей).</w:t>
      </w:r>
    </w:p>
    <w:p w:rsidR="001752BA" w:rsidRPr="00985E8C" w:rsidRDefault="001752BA" w:rsidP="00BA753B">
      <w:pPr>
        <w:spacing w:line="276" w:lineRule="auto"/>
        <w:rPr>
          <w:rFonts w:eastAsiaTheme="minorEastAsia"/>
          <w:sz w:val="28"/>
          <w:szCs w:val="28"/>
          <w:lang w:eastAsia="ru-RU"/>
        </w:rPr>
      </w:pPr>
      <w:r w:rsidRPr="00985E8C">
        <w:rPr>
          <w:rFonts w:eastAsiaTheme="minorEastAsia"/>
          <w:sz w:val="28"/>
          <w:szCs w:val="28"/>
          <w:lang w:eastAsia="ru-RU"/>
        </w:rPr>
        <w:t xml:space="preserve">Во второй половине 2022 года с учетом сохранения импортных ограничений и продолжающейся перестройки производственно-логистических цепочек инфляция сохранится на повышенном уровне. </w:t>
      </w:r>
    </w:p>
    <w:p w:rsidR="001752BA" w:rsidRPr="00985E8C" w:rsidRDefault="001752BA" w:rsidP="00BA753B">
      <w:pPr>
        <w:spacing w:line="276" w:lineRule="auto"/>
        <w:rPr>
          <w:sz w:val="28"/>
          <w:szCs w:val="28"/>
        </w:rPr>
      </w:pPr>
      <w:r w:rsidRPr="00985E8C">
        <w:rPr>
          <w:sz w:val="28"/>
          <w:szCs w:val="28"/>
        </w:rPr>
        <w:t xml:space="preserve">Согласно Сценарным условиям социально-экономического развития Самарской области на 2023 год и плановый период 2024 и 2025 годов (далее – Сценарные условия Самарской области) </w:t>
      </w:r>
      <w:bookmarkStart w:id="0" w:name="_Hlk115697749"/>
      <w:r w:rsidRPr="00985E8C">
        <w:rPr>
          <w:sz w:val="28"/>
          <w:szCs w:val="28"/>
        </w:rPr>
        <w:t>уровень инфляции в целом за 2022 год ожидается на уровне 117,5% (декабрь к декабрю предыдущего года) и 116,5% в среднегодовом исчислении</w:t>
      </w:r>
      <w:bookmarkEnd w:id="0"/>
      <w:r w:rsidRPr="00985E8C">
        <w:rPr>
          <w:sz w:val="28"/>
          <w:szCs w:val="28"/>
        </w:rPr>
        <w:t>, индекс-дефлятор оборота розничной торговли – на уровне 118,5%.</w:t>
      </w:r>
    </w:p>
    <w:p w:rsidR="001752BA" w:rsidRPr="008A3DB8" w:rsidRDefault="001752BA" w:rsidP="00BA753B">
      <w:pPr>
        <w:spacing w:line="276" w:lineRule="auto"/>
        <w:rPr>
          <w:sz w:val="28"/>
          <w:szCs w:val="28"/>
        </w:rPr>
      </w:pPr>
      <w:r w:rsidRPr="00BC36B0">
        <w:rPr>
          <w:sz w:val="28"/>
          <w:szCs w:val="28"/>
        </w:rPr>
        <w:t>Индекс-дефлятор в промышленности, который находится расчетным путем, исходя из дефляторов по каждому виду промышленной деятельности, за 2022 год по городскому округу Тольятти по оценке составит 1</w:t>
      </w:r>
      <w:r w:rsidR="00BC36B0" w:rsidRPr="00BC36B0">
        <w:rPr>
          <w:sz w:val="28"/>
          <w:szCs w:val="28"/>
        </w:rPr>
        <w:t>40</w:t>
      </w:r>
      <w:r w:rsidRPr="00BC36B0">
        <w:rPr>
          <w:sz w:val="28"/>
          <w:szCs w:val="28"/>
        </w:rPr>
        <w:t>,</w:t>
      </w:r>
      <w:r w:rsidR="001D115E">
        <w:rPr>
          <w:sz w:val="28"/>
          <w:szCs w:val="28"/>
        </w:rPr>
        <w:t>3</w:t>
      </w:r>
      <w:r w:rsidRPr="00BC36B0">
        <w:rPr>
          <w:sz w:val="28"/>
          <w:szCs w:val="28"/>
        </w:rPr>
        <w:t>%.</w:t>
      </w:r>
    </w:p>
    <w:p w:rsidR="001752BA" w:rsidRDefault="001752BA" w:rsidP="00BA753B">
      <w:pPr>
        <w:spacing w:line="276" w:lineRule="auto"/>
        <w:rPr>
          <w:sz w:val="28"/>
          <w:szCs w:val="28"/>
        </w:rPr>
      </w:pPr>
      <w:r w:rsidRPr="00985E8C">
        <w:rPr>
          <w:sz w:val="28"/>
          <w:szCs w:val="28"/>
        </w:rPr>
        <w:t>Индекс цен в инвестиционной сфере оценивается на уровне 111,3% согласно параметрам Сценарных условий Самарской области.</w:t>
      </w:r>
    </w:p>
    <w:p w:rsidR="00557A6C" w:rsidRPr="00557A6C" w:rsidRDefault="00557A6C" w:rsidP="00557A6C">
      <w:pPr>
        <w:suppressAutoHyphens w:val="0"/>
        <w:spacing w:line="276" w:lineRule="auto"/>
        <w:rPr>
          <w:sz w:val="28"/>
          <w:lang w:eastAsia="ru-RU"/>
        </w:rPr>
      </w:pPr>
      <w:r>
        <w:rPr>
          <w:sz w:val="28"/>
          <w:szCs w:val="28"/>
        </w:rPr>
        <w:t>Следует отметить</w:t>
      </w:r>
      <w:r w:rsidRPr="00557A6C">
        <w:rPr>
          <w:sz w:val="28"/>
          <w:szCs w:val="28"/>
        </w:rPr>
        <w:t xml:space="preserve">, </w:t>
      </w:r>
      <w:r>
        <w:rPr>
          <w:sz w:val="28"/>
          <w:szCs w:val="28"/>
        </w:rPr>
        <w:t xml:space="preserve">что </w:t>
      </w:r>
      <w:r w:rsidRPr="00557A6C">
        <w:rPr>
          <w:sz w:val="28"/>
          <w:szCs w:val="28"/>
        </w:rPr>
        <w:t xml:space="preserve">согласно уточненному Прогнозу социально-экономического развития Российской Федерации, размещенному на сайте </w:t>
      </w:r>
      <w:r w:rsidR="00EF2D65">
        <w:rPr>
          <w:sz w:val="28"/>
          <w:szCs w:val="28"/>
        </w:rPr>
        <w:t>м</w:t>
      </w:r>
      <w:r w:rsidRPr="00557A6C">
        <w:rPr>
          <w:sz w:val="28"/>
          <w:szCs w:val="28"/>
        </w:rPr>
        <w:t xml:space="preserve">инистерства экономического развития Российской Федерации 28.09.2022, </w:t>
      </w:r>
      <w:r w:rsidR="00EC6080">
        <w:rPr>
          <w:sz w:val="28"/>
          <w:lang w:eastAsia="ru-RU"/>
        </w:rPr>
        <w:lastRenderedPageBreak/>
        <w:t xml:space="preserve">оценочные значения индекса потребительских цен </w:t>
      </w:r>
      <w:r w:rsidRPr="00557A6C">
        <w:rPr>
          <w:sz w:val="28"/>
          <w:lang w:eastAsia="ru-RU"/>
        </w:rPr>
        <w:t>на 202</w:t>
      </w:r>
      <w:r>
        <w:rPr>
          <w:sz w:val="28"/>
          <w:lang w:eastAsia="ru-RU"/>
        </w:rPr>
        <w:t>2</w:t>
      </w:r>
      <w:r w:rsidRPr="00557A6C">
        <w:rPr>
          <w:sz w:val="28"/>
          <w:lang w:eastAsia="ru-RU"/>
        </w:rPr>
        <w:t xml:space="preserve"> год</w:t>
      </w:r>
      <w:r w:rsidRPr="00557A6C">
        <w:rPr>
          <w:sz w:val="28"/>
          <w:szCs w:val="28"/>
        </w:rPr>
        <w:t xml:space="preserve"> с</w:t>
      </w:r>
      <w:r w:rsidRPr="00557A6C">
        <w:rPr>
          <w:sz w:val="28"/>
          <w:lang w:eastAsia="ru-RU"/>
        </w:rPr>
        <w:t>нижен</w:t>
      </w:r>
      <w:r w:rsidR="00EC6080">
        <w:rPr>
          <w:sz w:val="28"/>
          <w:lang w:eastAsia="ru-RU"/>
        </w:rPr>
        <w:t>ы</w:t>
      </w:r>
      <w:r w:rsidRPr="00557A6C">
        <w:rPr>
          <w:sz w:val="28"/>
          <w:lang w:eastAsia="ru-RU"/>
        </w:rPr>
        <w:t xml:space="preserve"> до: </w:t>
      </w:r>
      <w:r>
        <w:rPr>
          <w:sz w:val="28"/>
          <w:lang w:eastAsia="ru-RU"/>
        </w:rPr>
        <w:t>112,4</w:t>
      </w:r>
      <w:r w:rsidRPr="00557A6C">
        <w:rPr>
          <w:sz w:val="28"/>
          <w:lang w:eastAsia="ru-RU"/>
        </w:rPr>
        <w:t xml:space="preserve">% (декабрь к декабрю) и </w:t>
      </w:r>
      <w:r>
        <w:rPr>
          <w:sz w:val="28"/>
          <w:lang w:eastAsia="ru-RU"/>
        </w:rPr>
        <w:t>113,9</w:t>
      </w:r>
      <w:r w:rsidRPr="00557A6C">
        <w:rPr>
          <w:sz w:val="28"/>
          <w:lang w:eastAsia="ru-RU"/>
        </w:rPr>
        <w:t xml:space="preserve">% в среднегодовом выражении.  </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Предельные индексы роста совокупной платы граждан за коммунальные услуги на 2022 год по городскому округу Тольятти утверждены постановлением Губернатора Самарской области от 30.12.2021 № 349.</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Тарифы на первое полугодие 2022 года (отопление, водопотребление, водоотведение, горячая вода и электроснабжение) установлены департаментом ценового и тарифного регулирования Самарской области.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Тарифы на теплоэнергию по городскому округу Тольятти в первой половине 2022 года составили: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ПАО «Т Плюс» (СЦТ Автозаводский район городского округа Тольятти):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xml:space="preserve">- с 01.01.2022 по 30.06.2022 – 1 658,4 рублей/Гкал с НДС с ростом 3,0%; </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ПАО «Т Плюс» (СЦТ Центральный и Комсомольский районы городского округа Тольятти):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с 01.01.2022 по 30.06.2022 – 1 542,00 рублей/Гкал с НДС с ростом 3,0%.</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xml:space="preserve">Рост тарифов на услуги по водоснабжению, водоотведению и очистке сточных вод организаций коммунального комплекса городского округа Тольятти в </w:t>
      </w:r>
      <w:r w:rsidR="003146DE">
        <w:rPr>
          <w:sz w:val="28"/>
          <w:szCs w:val="28"/>
          <w:lang w:eastAsia="ar-SA"/>
        </w:rPr>
        <w:t xml:space="preserve">первом </w:t>
      </w:r>
      <w:r w:rsidRPr="00BA753B">
        <w:rPr>
          <w:sz w:val="28"/>
          <w:szCs w:val="28"/>
          <w:lang w:eastAsia="ar-SA"/>
        </w:rPr>
        <w:t>полугодии 2022 года составил:</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по водоснабжению:</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ООО «Волжские коммунальные системы» (Центральный и Комсомольский районы городского округа Тольятти) – 3,6%;</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ОАО «ТЕВИС» (Автозаводский район городского округа Тольятти) – 4,0%.</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по водоотведению и очистке сточных вод:</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ООО «Волжские коммунальные системы» (Центральный и Комсомольский районы городского округа Тольятти) - 3,2%;</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ОАО «ТЕВИС» (Автозаводский район городского округа Тольятти) – 4,0% для не нормируемых абонентов (население) и 11,7% для абонентов, для которых устанавливаются нормативы водоотведения (сброса) по составу сточных вод.</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xml:space="preserve">Тарифы на второе полугодие 2022 года (отопление, водопотребление, водоотведение, горячая вода и электроснабжение) установлены </w:t>
      </w:r>
      <w:r w:rsidR="00730CE6">
        <w:rPr>
          <w:sz w:val="28"/>
          <w:szCs w:val="28"/>
          <w:lang w:eastAsia="ar-SA"/>
        </w:rPr>
        <w:t>д</w:t>
      </w:r>
      <w:r w:rsidRPr="00BA753B">
        <w:rPr>
          <w:sz w:val="28"/>
          <w:szCs w:val="28"/>
          <w:lang w:eastAsia="ar-SA"/>
        </w:rPr>
        <w:t>епартаментом ценового и тарифного регулирования Самарской области.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Тарифы на теплоэнергию по городскому округу Тольятти во второй половине 2022 году составили: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ПАО «Т Плюс» (СЦТ Автозаводский район городского округа Тольятти):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с 01.07.2022 по 31.12.2022 – 1 764,04 рублей/Гкал с НДС с ростом 6,37%.</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ПАО «Т Плюс» (СЦТ Центральный и Комсомольский районы городского округа Тольятти):</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с 01.07.2022 по 31.12.2022 – 1 651,79 рублей/Гкал с НДС с ростом 7,12%.</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Рост тарифов на услуги по водоснабжению, водоотведению и очистке сточных вод организаций коммунального комплекса городского округа Тольятти во втором полугодии 2022 года составил:</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по водоснабжению:</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ООО «Волжские коммунальные системы» (Центральный и Комсомольский районы городского округа Тольятти) – 5,7%;</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ОАО «ТЕВИС» (Автозаводский район городского округа Тольятти) – 6,7%.</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по водоотведению и очистке сточных вод:</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ООО «Волжские коммунальные системы» (Центральный и Комсомольский районы городского округа Тольятти) – 4,0%;</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ОАО «ТЕВИС» (Автозаводский район городского округа Тольятти) – 4,1% для не нормируемых абонентов (население) и 10,0% для абонентов, для которых устанавливаются нормативы водоотведения (сброса) по составу сточных вод.</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Рост тарифа на электрическую энергию для населения с 01.07.2022 составил:</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для населения и приравненных к нему категорий, за исключением населения и потребителей, указанных в пунктах 2 и 3 приказа от 10.12.2021 № 652:</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одноставочный тариф – 3,5%;</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одноставочный тариф, дифференцированный по двум зонам суток – 4,8%</w:t>
      </w:r>
      <w:r w:rsidR="009F7C7E">
        <w:rPr>
          <w:sz w:val="28"/>
          <w:szCs w:val="28"/>
          <w:lang w:eastAsia="ar-SA"/>
        </w:rPr>
        <w:t xml:space="preserve"> </w:t>
      </w:r>
      <w:r w:rsidRPr="00BA753B">
        <w:rPr>
          <w:sz w:val="28"/>
          <w:szCs w:val="28"/>
          <w:lang w:eastAsia="ar-SA"/>
        </w:rPr>
        <w:t>(дневная зона), 6,3%</w:t>
      </w:r>
      <w:r w:rsidR="009F7C7E">
        <w:rPr>
          <w:sz w:val="28"/>
          <w:szCs w:val="28"/>
          <w:lang w:eastAsia="ar-SA"/>
        </w:rPr>
        <w:t xml:space="preserve"> </w:t>
      </w:r>
      <w:r w:rsidRPr="00BA753B">
        <w:rPr>
          <w:sz w:val="28"/>
          <w:szCs w:val="28"/>
          <w:lang w:eastAsia="ar-SA"/>
        </w:rPr>
        <w:t>(ночная зона).</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одноставочный тариф – 3,6%;</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тариф, дифференцированный по двум зонам суток – 4,5%</w:t>
      </w:r>
      <w:r w:rsidR="00D10EC9" w:rsidRPr="00D10EC9">
        <w:rPr>
          <w:sz w:val="28"/>
          <w:szCs w:val="28"/>
          <w:lang w:eastAsia="ar-SA"/>
        </w:rPr>
        <w:t xml:space="preserve"> </w:t>
      </w:r>
      <w:r w:rsidRPr="00BA753B">
        <w:rPr>
          <w:sz w:val="28"/>
          <w:szCs w:val="28"/>
          <w:lang w:eastAsia="ar-SA"/>
        </w:rPr>
        <w:t>(дневная зона), 6,4%</w:t>
      </w:r>
      <w:r w:rsidR="00D10EC9" w:rsidRPr="00D10EC9">
        <w:rPr>
          <w:sz w:val="28"/>
          <w:szCs w:val="28"/>
          <w:lang w:eastAsia="ar-SA"/>
        </w:rPr>
        <w:t xml:space="preserve"> </w:t>
      </w:r>
      <w:r w:rsidRPr="00BA753B">
        <w:rPr>
          <w:sz w:val="28"/>
          <w:szCs w:val="28"/>
          <w:lang w:eastAsia="ar-SA"/>
        </w:rPr>
        <w:t>(ночная зона).</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Рост тарифа на газ природный, реализуемый населению Самарской области с 01.07.2022 составил 3,0%.</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С 01.07.2022 единый тариф на услугу по обращению с твердыми коммунальными отходами на территории Самарской области для населения составляет 598,16 рублей и остался без изменений.</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Размер платы за содержание жилого помещения для нанимателей муниципального жилищного фонда в 2022 году по степени благоустройства в соответствии с постановлением администрации городского округа Тольятти № 3935-п/1 от 24.12.2020 составит 24,02 руб</w:t>
      </w:r>
      <w:r w:rsidR="009F7C7E">
        <w:rPr>
          <w:sz w:val="28"/>
          <w:szCs w:val="28"/>
          <w:lang w:eastAsia="ar-SA"/>
        </w:rPr>
        <w:t>лей</w:t>
      </w:r>
      <w:r w:rsidRPr="00BA753B">
        <w:rPr>
          <w:sz w:val="28"/>
          <w:szCs w:val="28"/>
          <w:lang w:eastAsia="ar-SA"/>
        </w:rPr>
        <w:t>/м2.</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Постановлением администрации городского округа Тольятти от 29.12.2021 № 3956-п/1 утверждены регулируемые тарифы на перевозки пассажиров и багажа по муниципальным маршрутам регулярных перевозок в городском округе Тольятти с 01.01.2022:</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регулируемые тарифы на перевозки пассажиров и багажа при приобретении билета на одну поездку в размере 32 рубля;</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стоимость льготного электронного проездного билета «Студенческий» на месяц на два вида транспорта (автобус, троллейбус) в размере 795 рублей;</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стоимость льготного электронного проездного билета «Для учащихся» на месяц на два вида транспорта (автобус, троллейбус) в размере 557 рублей;</w:t>
      </w:r>
    </w:p>
    <w:p w:rsidR="00BA753B" w:rsidRPr="00BA753B" w:rsidRDefault="00BA753B" w:rsidP="00BA753B">
      <w:pPr>
        <w:suppressAutoHyphens w:val="0"/>
        <w:spacing w:line="276" w:lineRule="auto"/>
        <w:rPr>
          <w:sz w:val="28"/>
          <w:szCs w:val="28"/>
          <w:lang w:eastAsia="ar-SA"/>
        </w:rPr>
      </w:pPr>
      <w:r w:rsidRPr="00BA753B">
        <w:rPr>
          <w:sz w:val="28"/>
          <w:szCs w:val="28"/>
          <w:lang w:eastAsia="ar-SA"/>
        </w:rPr>
        <w:t>- стоимость безлимитной единой транспортной карты на два вида транспорта (автобус, троллейбус) в размере 1 728 рублей.</w:t>
      </w:r>
    </w:p>
    <w:p w:rsidR="00616D7E" w:rsidRPr="00890AA8" w:rsidRDefault="00616D7E" w:rsidP="00443EE9">
      <w:pPr>
        <w:pStyle w:val="1f0"/>
        <w:spacing w:line="276" w:lineRule="auto"/>
        <w:ind w:right="-1"/>
        <w:jc w:val="center"/>
        <w:rPr>
          <w:rFonts w:ascii="Times New Roman" w:hAnsi="Times New Roman" w:cs="Times New Roman"/>
          <w:b/>
          <w:sz w:val="28"/>
          <w:szCs w:val="28"/>
          <w:highlight w:val="yellow"/>
        </w:rPr>
      </w:pPr>
    </w:p>
    <w:p w:rsidR="004D3812" w:rsidRPr="00FA5C7F" w:rsidRDefault="004D3812" w:rsidP="00974690">
      <w:pPr>
        <w:pStyle w:val="3"/>
        <w:rPr>
          <w:rStyle w:val="31"/>
          <w:rFonts w:ascii="Times New Roman" w:hAnsi="Times New Roman"/>
          <w:b/>
          <w:bCs w:val="0"/>
          <w:sz w:val="28"/>
          <w:szCs w:val="28"/>
        </w:rPr>
      </w:pPr>
      <w:r w:rsidRPr="00FA5C7F">
        <w:rPr>
          <w:rStyle w:val="31"/>
          <w:rFonts w:ascii="Times New Roman" w:hAnsi="Times New Roman"/>
          <w:b/>
          <w:bCs w:val="0"/>
          <w:sz w:val="28"/>
          <w:szCs w:val="28"/>
        </w:rPr>
        <w:t>Промышленное производство</w:t>
      </w:r>
      <w:bookmarkStart w:id="1" w:name="пром"/>
      <w:bookmarkEnd w:id="1"/>
      <w:r w:rsidRPr="00FA5C7F">
        <w:rPr>
          <w:rStyle w:val="31"/>
          <w:rFonts w:ascii="Times New Roman" w:hAnsi="Times New Roman"/>
          <w:b/>
          <w:bCs w:val="0"/>
          <w:sz w:val="28"/>
          <w:szCs w:val="28"/>
        </w:rPr>
        <w:t xml:space="preserve"> </w:t>
      </w:r>
    </w:p>
    <w:p w:rsidR="004D3812" w:rsidRPr="00FA5C7F" w:rsidRDefault="004D3812" w:rsidP="00974690">
      <w:pPr>
        <w:pStyle w:val="1f0"/>
        <w:keepNext/>
        <w:spacing w:line="276" w:lineRule="auto"/>
        <w:ind w:right="-1"/>
        <w:jc w:val="center"/>
        <w:rPr>
          <w:rFonts w:ascii="Times New Roman" w:hAnsi="Times New Roman" w:cs="Times New Roman"/>
          <w:b/>
          <w:sz w:val="28"/>
          <w:szCs w:val="28"/>
        </w:rPr>
      </w:pPr>
      <w:r w:rsidRPr="00FA5C7F">
        <w:rPr>
          <w:rFonts w:ascii="Times New Roman" w:hAnsi="Times New Roman" w:cs="Times New Roman"/>
          <w:b/>
          <w:sz w:val="28"/>
          <w:szCs w:val="28"/>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D3812" w:rsidRPr="00890AA8" w:rsidRDefault="004D3812" w:rsidP="00974690">
      <w:pPr>
        <w:pStyle w:val="1f0"/>
        <w:keepNext/>
        <w:spacing w:line="276" w:lineRule="auto"/>
        <w:ind w:right="-1"/>
        <w:jc w:val="center"/>
        <w:rPr>
          <w:rFonts w:ascii="Times New Roman" w:hAnsi="Times New Roman" w:cs="Times New Roman"/>
          <w:b/>
          <w:sz w:val="28"/>
          <w:szCs w:val="28"/>
          <w:highlight w:val="yellow"/>
        </w:rPr>
      </w:pPr>
    </w:p>
    <w:p w:rsidR="00EC0E58" w:rsidRPr="009C3A73" w:rsidRDefault="00EC0E58" w:rsidP="007832FF">
      <w:pPr>
        <w:widowControl w:val="0"/>
        <w:numPr>
          <w:ilvl w:val="0"/>
          <w:numId w:val="5"/>
        </w:numPr>
        <w:suppressAutoHyphens w:val="0"/>
        <w:spacing w:line="276" w:lineRule="auto"/>
        <w:ind w:left="0" w:firstLine="851"/>
        <w:rPr>
          <w:color w:val="000000"/>
          <w:sz w:val="28"/>
          <w:szCs w:val="28"/>
          <w:lang w:eastAsia="ru-RU"/>
        </w:rPr>
      </w:pPr>
      <w:r w:rsidRPr="009C3A73">
        <w:rPr>
          <w:color w:val="000000"/>
          <w:sz w:val="28"/>
          <w:szCs w:val="28"/>
          <w:lang w:eastAsia="ru-RU"/>
        </w:rPr>
        <w:t xml:space="preserve">В городском округе Тольятти насчитывается 166 крупных и средних предприятий, 2707 субъектов малого предпринимательства (малых и микропредприятий, индивидуальных предпринимателей), основной вид деятельности которых – промышленное производство (разделы ОКВЭД </w:t>
      </w:r>
      <w:r w:rsidR="00D10EC9" w:rsidRPr="00D10EC9">
        <w:rPr>
          <w:color w:val="000000"/>
          <w:sz w:val="28"/>
          <w:szCs w:val="28"/>
          <w:lang w:eastAsia="ru-RU"/>
        </w:rPr>
        <w:t xml:space="preserve">           </w:t>
      </w:r>
      <w:r w:rsidRPr="009C3A73">
        <w:rPr>
          <w:color w:val="000000"/>
          <w:sz w:val="28"/>
          <w:szCs w:val="28"/>
          <w:lang w:val="en-US" w:eastAsia="ru-RU"/>
        </w:rPr>
        <w:t>B</w:t>
      </w:r>
      <w:r w:rsidRPr="009C3A73">
        <w:rPr>
          <w:color w:val="000000"/>
          <w:sz w:val="28"/>
          <w:szCs w:val="28"/>
          <w:lang w:eastAsia="ru-RU"/>
        </w:rPr>
        <w:t>,</w:t>
      </w:r>
      <w:r w:rsidR="00D10EC9" w:rsidRPr="00D10EC9">
        <w:rPr>
          <w:color w:val="000000"/>
          <w:sz w:val="28"/>
          <w:szCs w:val="28"/>
          <w:lang w:eastAsia="ru-RU"/>
        </w:rPr>
        <w:t xml:space="preserve"> </w:t>
      </w:r>
      <w:r w:rsidRPr="009C3A73">
        <w:rPr>
          <w:color w:val="000000"/>
          <w:sz w:val="28"/>
          <w:szCs w:val="28"/>
          <w:lang w:val="en-US" w:eastAsia="ru-RU"/>
        </w:rPr>
        <w:t>C</w:t>
      </w:r>
      <w:r w:rsidRPr="009C3A73">
        <w:rPr>
          <w:color w:val="000000"/>
          <w:sz w:val="28"/>
          <w:szCs w:val="28"/>
          <w:lang w:eastAsia="ru-RU"/>
        </w:rPr>
        <w:t>,</w:t>
      </w:r>
      <w:r w:rsidR="00D10EC9" w:rsidRPr="00D10EC9">
        <w:rPr>
          <w:color w:val="000000"/>
          <w:sz w:val="28"/>
          <w:szCs w:val="28"/>
          <w:lang w:eastAsia="ru-RU"/>
        </w:rPr>
        <w:t xml:space="preserve"> </w:t>
      </w:r>
      <w:r w:rsidRPr="009C3A73">
        <w:rPr>
          <w:color w:val="000000"/>
          <w:sz w:val="28"/>
          <w:szCs w:val="28"/>
          <w:lang w:val="en-US" w:eastAsia="ru-RU"/>
        </w:rPr>
        <w:t>D</w:t>
      </w:r>
      <w:r w:rsidRPr="009C3A73">
        <w:rPr>
          <w:color w:val="000000"/>
          <w:sz w:val="28"/>
          <w:szCs w:val="28"/>
          <w:lang w:eastAsia="ru-RU"/>
        </w:rPr>
        <w:t>,</w:t>
      </w:r>
      <w:r w:rsidR="00D10EC9" w:rsidRPr="00D10EC9">
        <w:rPr>
          <w:color w:val="000000"/>
          <w:sz w:val="28"/>
          <w:szCs w:val="28"/>
          <w:lang w:eastAsia="ru-RU"/>
        </w:rPr>
        <w:t xml:space="preserve"> </w:t>
      </w:r>
      <w:r w:rsidRPr="009C3A73">
        <w:rPr>
          <w:color w:val="000000"/>
          <w:sz w:val="28"/>
          <w:szCs w:val="28"/>
          <w:lang w:val="en-US" w:eastAsia="ru-RU"/>
        </w:rPr>
        <w:t>E</w:t>
      </w:r>
      <w:r w:rsidRPr="009C3A73">
        <w:rPr>
          <w:color w:val="000000"/>
          <w:sz w:val="28"/>
          <w:szCs w:val="28"/>
          <w:lang w:eastAsia="ru-RU"/>
        </w:rPr>
        <w:t>).</w:t>
      </w:r>
    </w:p>
    <w:p w:rsidR="007832FF" w:rsidRPr="007832FF" w:rsidRDefault="00EC0E58" w:rsidP="007832FF">
      <w:pPr>
        <w:pStyle w:val="afb"/>
        <w:spacing w:line="276" w:lineRule="auto"/>
        <w:ind w:left="0"/>
        <w:rPr>
          <w:rFonts w:eastAsia="Calibri"/>
          <w:bCs/>
          <w:spacing w:val="2"/>
          <w:sz w:val="26"/>
          <w:szCs w:val="26"/>
          <w:lang w:eastAsia="ar-SA"/>
        </w:rPr>
      </w:pPr>
      <w:r w:rsidRPr="00835C68">
        <w:rPr>
          <w:rFonts w:eastAsia="Calibri"/>
          <w:sz w:val="28"/>
          <w:szCs w:val="28"/>
        </w:rPr>
        <w:t>В первом полугодии 2022 года по сравнению с аналогичным периодом 2021 года в промышленном комплексе городского округа Тольятти наблюдалась отрицательная динамика развития</w:t>
      </w:r>
      <w:r>
        <w:rPr>
          <w:rFonts w:eastAsia="Calibri"/>
          <w:sz w:val="28"/>
          <w:szCs w:val="28"/>
        </w:rPr>
        <w:t xml:space="preserve">. </w:t>
      </w:r>
      <w:r>
        <w:rPr>
          <w:sz w:val="28"/>
          <w:szCs w:val="28"/>
        </w:rPr>
        <w:t>Экономические санкции</w:t>
      </w:r>
      <w:r w:rsidRPr="00DA475D">
        <w:rPr>
          <w:sz w:val="28"/>
          <w:szCs w:val="28"/>
        </w:rPr>
        <w:t xml:space="preserve"> привел</w:t>
      </w:r>
      <w:r>
        <w:rPr>
          <w:sz w:val="28"/>
          <w:szCs w:val="28"/>
        </w:rPr>
        <w:t>и</w:t>
      </w:r>
      <w:r w:rsidRPr="00DA475D">
        <w:rPr>
          <w:sz w:val="28"/>
          <w:szCs w:val="28"/>
        </w:rPr>
        <w:t xml:space="preserve"> к разрыву производственно-логистических цепочек и необходимости перенастройки производств</w:t>
      </w:r>
      <w:r w:rsidRPr="00835C68">
        <w:rPr>
          <w:rFonts w:eastAsia="Calibri"/>
          <w:sz w:val="28"/>
          <w:szCs w:val="28"/>
        </w:rPr>
        <w:t xml:space="preserve">. </w:t>
      </w:r>
      <w:r w:rsidR="007832FF" w:rsidRPr="007832FF">
        <w:rPr>
          <w:rFonts w:eastAsia="Calibri"/>
          <w:bCs/>
          <w:spacing w:val="2"/>
          <w:sz w:val="26"/>
          <w:szCs w:val="26"/>
          <w:lang w:eastAsia="ar-SA"/>
        </w:rPr>
        <w:t xml:space="preserve">Предприятия </w:t>
      </w:r>
      <w:r w:rsidR="007832FF">
        <w:rPr>
          <w:rFonts w:eastAsia="Calibri"/>
          <w:bCs/>
          <w:spacing w:val="2"/>
          <w:sz w:val="26"/>
          <w:szCs w:val="26"/>
          <w:lang w:eastAsia="ar-SA"/>
        </w:rPr>
        <w:t>городского округа Тольятти столкнулись</w:t>
      </w:r>
      <w:r w:rsidR="007832FF" w:rsidRPr="007832FF">
        <w:rPr>
          <w:rFonts w:eastAsia="Calibri"/>
          <w:bCs/>
          <w:spacing w:val="2"/>
          <w:sz w:val="26"/>
          <w:szCs w:val="26"/>
          <w:lang w:eastAsia="ar-SA"/>
        </w:rPr>
        <w:t xml:space="preserve"> </w:t>
      </w:r>
      <w:r w:rsidR="007832FF">
        <w:rPr>
          <w:rFonts w:eastAsia="Calibri"/>
          <w:bCs/>
          <w:spacing w:val="2"/>
          <w:sz w:val="26"/>
          <w:szCs w:val="26"/>
          <w:lang w:eastAsia="ar-SA"/>
        </w:rPr>
        <w:t>с</w:t>
      </w:r>
      <w:r w:rsidR="007832FF" w:rsidRPr="007832FF">
        <w:rPr>
          <w:rFonts w:eastAsia="Calibri"/>
          <w:bCs/>
          <w:spacing w:val="2"/>
          <w:sz w:val="26"/>
          <w:szCs w:val="26"/>
          <w:lang w:eastAsia="ar-SA"/>
        </w:rPr>
        <w:t xml:space="preserve"> массов</w:t>
      </w:r>
      <w:r w:rsidR="007832FF">
        <w:rPr>
          <w:rFonts w:eastAsia="Calibri"/>
          <w:bCs/>
          <w:spacing w:val="2"/>
          <w:sz w:val="26"/>
          <w:szCs w:val="26"/>
          <w:lang w:eastAsia="ar-SA"/>
        </w:rPr>
        <w:t>ым</w:t>
      </w:r>
      <w:r w:rsidR="007832FF" w:rsidRPr="007832FF">
        <w:rPr>
          <w:rFonts w:eastAsia="Calibri"/>
          <w:bCs/>
          <w:spacing w:val="2"/>
          <w:sz w:val="26"/>
          <w:szCs w:val="26"/>
          <w:lang w:eastAsia="ar-SA"/>
        </w:rPr>
        <w:t xml:space="preserve"> отка</w:t>
      </w:r>
      <w:r w:rsidR="007832FF">
        <w:rPr>
          <w:rFonts w:eastAsia="Calibri"/>
          <w:bCs/>
          <w:spacing w:val="2"/>
          <w:sz w:val="26"/>
          <w:szCs w:val="26"/>
          <w:lang w:eastAsia="ar-SA"/>
        </w:rPr>
        <w:t>зом</w:t>
      </w:r>
      <w:r w:rsidR="007832FF" w:rsidRPr="007832FF">
        <w:rPr>
          <w:rFonts w:eastAsia="Calibri"/>
          <w:bCs/>
          <w:spacing w:val="2"/>
          <w:sz w:val="26"/>
          <w:szCs w:val="26"/>
          <w:lang w:eastAsia="ar-SA"/>
        </w:rPr>
        <w:t xml:space="preserve"> зарубежных поставщиков, а также логистических компаний от поставок в РФ, повышение</w:t>
      </w:r>
      <w:r w:rsidR="007832FF">
        <w:rPr>
          <w:rFonts w:eastAsia="Calibri"/>
          <w:bCs/>
          <w:spacing w:val="2"/>
          <w:sz w:val="26"/>
          <w:szCs w:val="26"/>
          <w:lang w:eastAsia="ar-SA"/>
        </w:rPr>
        <w:t>м</w:t>
      </w:r>
      <w:r w:rsidR="007832FF" w:rsidRPr="007832FF">
        <w:rPr>
          <w:rFonts w:eastAsia="Calibri"/>
          <w:bCs/>
          <w:spacing w:val="2"/>
          <w:sz w:val="26"/>
          <w:szCs w:val="26"/>
          <w:lang w:eastAsia="ar-SA"/>
        </w:rPr>
        <w:t xml:space="preserve"> цен, нехватку ликвидности из-за удорожания кредитов и други</w:t>
      </w:r>
      <w:r w:rsidR="007832FF">
        <w:rPr>
          <w:rFonts w:eastAsia="Calibri"/>
          <w:bCs/>
          <w:spacing w:val="2"/>
          <w:sz w:val="26"/>
          <w:szCs w:val="26"/>
          <w:lang w:eastAsia="ar-SA"/>
        </w:rPr>
        <w:t>ми</w:t>
      </w:r>
      <w:r w:rsidR="007832FF" w:rsidRPr="007832FF">
        <w:rPr>
          <w:rFonts w:eastAsia="Calibri"/>
          <w:bCs/>
          <w:spacing w:val="2"/>
          <w:sz w:val="26"/>
          <w:szCs w:val="26"/>
          <w:lang w:eastAsia="ar-SA"/>
        </w:rPr>
        <w:t xml:space="preserve"> проблем</w:t>
      </w:r>
      <w:r w:rsidR="007832FF">
        <w:rPr>
          <w:rFonts w:eastAsia="Calibri"/>
          <w:bCs/>
          <w:spacing w:val="2"/>
          <w:sz w:val="26"/>
          <w:szCs w:val="26"/>
          <w:lang w:eastAsia="ar-SA"/>
        </w:rPr>
        <w:t>ами</w:t>
      </w:r>
      <w:r w:rsidR="007832FF" w:rsidRPr="007832FF">
        <w:rPr>
          <w:rFonts w:eastAsia="Calibri"/>
          <w:bCs/>
          <w:spacing w:val="2"/>
          <w:sz w:val="26"/>
          <w:szCs w:val="26"/>
          <w:lang w:eastAsia="ar-SA"/>
        </w:rPr>
        <w:t xml:space="preserve">. </w:t>
      </w:r>
    </w:p>
    <w:p w:rsidR="00EC0E58" w:rsidRPr="004953E5" w:rsidRDefault="004953E5" w:rsidP="00BA753B">
      <w:pPr>
        <w:widowControl w:val="0"/>
        <w:numPr>
          <w:ilvl w:val="0"/>
          <w:numId w:val="5"/>
        </w:numPr>
        <w:spacing w:line="276" w:lineRule="auto"/>
        <w:ind w:left="0" w:firstLine="709"/>
        <w:rPr>
          <w:rFonts w:eastAsia="Calibri"/>
          <w:sz w:val="28"/>
          <w:szCs w:val="28"/>
        </w:rPr>
      </w:pPr>
      <w:r w:rsidRPr="004953E5">
        <w:rPr>
          <w:rFonts w:eastAsia="Calibri"/>
          <w:sz w:val="28"/>
          <w:szCs w:val="28"/>
        </w:rPr>
        <w:t xml:space="preserve">Наиболее значительно пострадало автомобилестроение и отрасли с ним связанные: производственные линии АО «АВТОВАЗ» находились в простое с конца марта и до июня </w:t>
      </w:r>
      <w:r>
        <w:rPr>
          <w:rFonts w:eastAsia="Calibri"/>
          <w:sz w:val="28"/>
          <w:szCs w:val="28"/>
        </w:rPr>
        <w:t>2022</w:t>
      </w:r>
      <w:r w:rsidRPr="004953E5">
        <w:rPr>
          <w:rFonts w:eastAsia="Calibri"/>
          <w:sz w:val="28"/>
          <w:szCs w:val="28"/>
        </w:rPr>
        <w:t xml:space="preserve"> года</w:t>
      </w:r>
      <w:r w:rsidR="00EC0E58">
        <w:rPr>
          <w:rFonts w:eastAsia="Calibri"/>
          <w:sz w:val="28"/>
          <w:szCs w:val="28"/>
        </w:rPr>
        <w:t>.</w:t>
      </w:r>
    </w:p>
    <w:p w:rsidR="00EC0E58" w:rsidRDefault="00EC0E58" w:rsidP="00BA753B">
      <w:pPr>
        <w:widowControl w:val="0"/>
        <w:numPr>
          <w:ilvl w:val="0"/>
          <w:numId w:val="5"/>
        </w:numPr>
        <w:spacing w:line="276" w:lineRule="auto"/>
        <w:ind w:left="0" w:firstLine="709"/>
        <w:rPr>
          <w:color w:val="000000"/>
          <w:sz w:val="28"/>
          <w:szCs w:val="28"/>
        </w:rPr>
      </w:pPr>
      <w:r w:rsidRPr="00236EFA">
        <w:rPr>
          <w:color w:val="000000"/>
          <w:sz w:val="28"/>
          <w:szCs w:val="28"/>
        </w:rPr>
        <w:t xml:space="preserve">За январь-июнь 2022 года индекс промышленного производства, который характеризует динамику объемов промышленного производства в натуральном выражении, составил </w:t>
      </w:r>
      <w:r w:rsidRPr="00876C40">
        <w:rPr>
          <w:color w:val="000000"/>
          <w:sz w:val="28"/>
          <w:szCs w:val="28"/>
        </w:rPr>
        <w:t>67,8% к уровню аналогичного периода 202</w:t>
      </w:r>
      <w:r>
        <w:rPr>
          <w:color w:val="000000"/>
          <w:sz w:val="28"/>
          <w:szCs w:val="28"/>
        </w:rPr>
        <w:t>1</w:t>
      </w:r>
      <w:r w:rsidRPr="00876C40">
        <w:rPr>
          <w:color w:val="000000"/>
          <w:sz w:val="28"/>
          <w:szCs w:val="28"/>
        </w:rPr>
        <w:t xml:space="preserve"> года, в том числе </w:t>
      </w:r>
      <w:r w:rsidR="007832FF">
        <w:rPr>
          <w:color w:val="000000"/>
          <w:sz w:val="28"/>
          <w:szCs w:val="28"/>
        </w:rPr>
        <w:t>в</w:t>
      </w:r>
      <w:r w:rsidRPr="00876C40">
        <w:rPr>
          <w:color w:val="000000"/>
          <w:sz w:val="28"/>
          <w:szCs w:val="28"/>
        </w:rPr>
        <w:t xml:space="preserve"> обрабатывающем секторе – 65,3%, в обеспечении электрической энергией, газом и паром; кондиционировании воздуха – 95,9%; </w:t>
      </w:r>
      <w:r w:rsidRPr="007E46D4">
        <w:rPr>
          <w:color w:val="000000"/>
          <w:sz w:val="28"/>
          <w:szCs w:val="28"/>
        </w:rPr>
        <w:t>в водоснабжении, водоотведении, организации сбора и утилизации отходов, деятельности по ликвидации загрязнений – 81,9%.</w:t>
      </w:r>
    </w:p>
    <w:p w:rsidR="00EC0E58" w:rsidRDefault="00EC0E58" w:rsidP="00BA753B">
      <w:pPr>
        <w:widowControl w:val="0"/>
        <w:numPr>
          <w:ilvl w:val="0"/>
          <w:numId w:val="5"/>
        </w:numPr>
        <w:suppressAutoHyphens w:val="0"/>
        <w:spacing w:line="276" w:lineRule="auto"/>
        <w:ind w:left="0" w:firstLine="709"/>
        <w:rPr>
          <w:color w:val="000000"/>
          <w:sz w:val="28"/>
          <w:szCs w:val="28"/>
        </w:rPr>
      </w:pPr>
      <w:r w:rsidRPr="00516073">
        <w:rPr>
          <w:color w:val="000000"/>
          <w:sz w:val="28"/>
          <w:szCs w:val="28"/>
          <w:lang w:eastAsia="ru-RU"/>
        </w:rPr>
        <w:t>Объем отгруженной продукции собственного производства снизился за январь-июнь 2022 года на 16,8% или на 55 264,3 млн. руб</w:t>
      </w:r>
      <w:r w:rsidR="004B5FAC">
        <w:rPr>
          <w:color w:val="000000"/>
          <w:sz w:val="28"/>
          <w:szCs w:val="28"/>
          <w:lang w:eastAsia="ru-RU"/>
        </w:rPr>
        <w:t>.</w:t>
      </w:r>
      <w:r w:rsidRPr="00516073">
        <w:rPr>
          <w:color w:val="000000"/>
          <w:sz w:val="28"/>
          <w:szCs w:val="28"/>
          <w:lang w:eastAsia="ru-RU"/>
        </w:rPr>
        <w:t xml:space="preserve"> к аналогичному периоду  2021 года и составил </w:t>
      </w:r>
      <w:r w:rsidRPr="00516073">
        <w:rPr>
          <w:color w:val="000000"/>
          <w:sz w:val="28"/>
          <w:szCs w:val="28"/>
        </w:rPr>
        <w:t xml:space="preserve">273 923,6 </w:t>
      </w:r>
      <w:r w:rsidRPr="00516073">
        <w:rPr>
          <w:color w:val="000000"/>
          <w:sz w:val="28"/>
          <w:szCs w:val="28"/>
          <w:lang w:eastAsia="ru-RU"/>
        </w:rPr>
        <w:t>млн. руб</w:t>
      </w:r>
      <w:r w:rsidR="004B5FAC">
        <w:rPr>
          <w:color w:val="000000"/>
          <w:sz w:val="28"/>
          <w:szCs w:val="28"/>
          <w:lang w:eastAsia="ru-RU"/>
        </w:rPr>
        <w:t>.</w:t>
      </w:r>
      <w:r w:rsidRPr="00516073">
        <w:rPr>
          <w:color w:val="000000"/>
          <w:sz w:val="28"/>
          <w:szCs w:val="28"/>
          <w:lang w:eastAsia="ru-RU"/>
        </w:rPr>
        <w:t xml:space="preserve"> (28,5% от объема по Самарской области), в том числе в обрабатывающем секторе – </w:t>
      </w:r>
      <w:r w:rsidRPr="00516073">
        <w:rPr>
          <w:color w:val="000000"/>
          <w:sz w:val="28"/>
          <w:szCs w:val="28"/>
        </w:rPr>
        <w:t>на 17,5%</w:t>
      </w:r>
      <w:r w:rsidRPr="00027A4F">
        <w:rPr>
          <w:color w:val="000000"/>
          <w:sz w:val="28"/>
          <w:szCs w:val="28"/>
        </w:rPr>
        <w:t xml:space="preserve"> до 253 829,3 млн. руб</w:t>
      </w:r>
      <w:r w:rsidR="004B5FAC">
        <w:rPr>
          <w:color w:val="000000"/>
          <w:sz w:val="28"/>
          <w:szCs w:val="28"/>
        </w:rPr>
        <w:t>.</w:t>
      </w:r>
      <w:r w:rsidRPr="00027A4F">
        <w:rPr>
          <w:color w:val="000000"/>
          <w:sz w:val="28"/>
          <w:szCs w:val="28"/>
        </w:rPr>
        <w:t>, в обеспечении электрической энергией, газом и паром; кондиционировании воздуха - на 0,6% и составил 13 087,4 млн. руб</w:t>
      </w:r>
      <w:r w:rsidR="004B5FAC">
        <w:rPr>
          <w:color w:val="000000"/>
          <w:sz w:val="28"/>
          <w:szCs w:val="28"/>
        </w:rPr>
        <w:t>.</w:t>
      </w:r>
      <w:r w:rsidRPr="00027A4F">
        <w:rPr>
          <w:color w:val="000000"/>
          <w:sz w:val="28"/>
          <w:szCs w:val="28"/>
        </w:rPr>
        <w:t>; в водоснабжении, водоотведении, организации сбора и утилизации отходов, деятельности по ликвидации загрязнений - на 15,9% и составил 7 006,9 млн. руб</w:t>
      </w:r>
      <w:r w:rsidRPr="00E05F3D">
        <w:rPr>
          <w:color w:val="000000"/>
          <w:sz w:val="28"/>
          <w:szCs w:val="28"/>
        </w:rPr>
        <w:t xml:space="preserve">. </w:t>
      </w:r>
    </w:p>
    <w:p w:rsidR="00EC0E58" w:rsidRPr="005257BB" w:rsidRDefault="00EC0E58" w:rsidP="00BA753B">
      <w:pPr>
        <w:widowControl w:val="0"/>
        <w:numPr>
          <w:ilvl w:val="0"/>
          <w:numId w:val="5"/>
        </w:numPr>
        <w:spacing w:line="276" w:lineRule="auto"/>
        <w:ind w:left="0" w:firstLine="709"/>
        <w:rPr>
          <w:color w:val="000000"/>
          <w:sz w:val="28"/>
          <w:szCs w:val="28"/>
        </w:rPr>
      </w:pPr>
      <w:r w:rsidRPr="005257BB">
        <w:rPr>
          <w:color w:val="000000"/>
          <w:sz w:val="28"/>
          <w:szCs w:val="28"/>
        </w:rPr>
        <w:t xml:space="preserve">Среди городских округов Самарской области за январь-июнь 2022 года городской округ Тольятти занял </w:t>
      </w:r>
      <w:r w:rsidR="007832FF">
        <w:rPr>
          <w:color w:val="000000"/>
          <w:sz w:val="28"/>
          <w:szCs w:val="28"/>
        </w:rPr>
        <w:t>первое</w:t>
      </w:r>
      <w:r w:rsidRPr="005257BB">
        <w:rPr>
          <w:color w:val="000000"/>
          <w:sz w:val="28"/>
          <w:szCs w:val="28"/>
        </w:rPr>
        <w:t xml:space="preserve"> место по объемам отгруженных товаров промышленного производства</w:t>
      </w:r>
      <w:r w:rsidRPr="00CB084F">
        <w:rPr>
          <w:color w:val="000000"/>
          <w:sz w:val="28"/>
          <w:szCs w:val="28"/>
        </w:rPr>
        <w:t xml:space="preserve"> </w:t>
      </w:r>
      <w:r>
        <w:rPr>
          <w:color w:val="000000"/>
          <w:sz w:val="28"/>
          <w:szCs w:val="28"/>
        </w:rPr>
        <w:t xml:space="preserve">и </w:t>
      </w:r>
      <w:r w:rsidR="007832FF">
        <w:rPr>
          <w:color w:val="000000"/>
          <w:sz w:val="28"/>
          <w:szCs w:val="28"/>
        </w:rPr>
        <w:t>четвертое</w:t>
      </w:r>
      <w:r>
        <w:rPr>
          <w:color w:val="000000"/>
          <w:sz w:val="28"/>
          <w:szCs w:val="28"/>
        </w:rPr>
        <w:t xml:space="preserve"> место </w:t>
      </w:r>
      <w:r w:rsidR="004953E5">
        <w:rPr>
          <w:color w:val="000000"/>
          <w:sz w:val="28"/>
          <w:szCs w:val="28"/>
        </w:rPr>
        <w:t xml:space="preserve">по отгрузке </w:t>
      </w:r>
      <w:r>
        <w:rPr>
          <w:color w:val="000000"/>
          <w:sz w:val="28"/>
          <w:szCs w:val="28"/>
        </w:rPr>
        <w:t>в расчете на душу населения</w:t>
      </w:r>
      <w:r w:rsidRPr="005257BB">
        <w:rPr>
          <w:color w:val="000000"/>
          <w:sz w:val="28"/>
          <w:szCs w:val="28"/>
        </w:rPr>
        <w:t>.</w:t>
      </w:r>
      <w:r w:rsidR="006D5D6C">
        <w:rPr>
          <w:color w:val="000000"/>
          <w:sz w:val="28"/>
          <w:szCs w:val="28"/>
        </w:rPr>
        <w:t xml:space="preserve"> В рейтинге Приволжского федерального округа по объему отгруженной промышленной продукции городской округ Тольятти на </w:t>
      </w:r>
      <w:r w:rsidR="007832FF">
        <w:rPr>
          <w:color w:val="000000"/>
          <w:sz w:val="28"/>
          <w:szCs w:val="28"/>
        </w:rPr>
        <w:t>втором</w:t>
      </w:r>
      <w:r w:rsidR="006D5D6C">
        <w:rPr>
          <w:color w:val="000000"/>
          <w:sz w:val="28"/>
          <w:szCs w:val="28"/>
        </w:rPr>
        <w:t xml:space="preserve"> месте после городского округа Уфы.</w:t>
      </w:r>
    </w:p>
    <w:p w:rsidR="00EC0E58" w:rsidRDefault="00EC0E58" w:rsidP="00BA753B">
      <w:pPr>
        <w:numPr>
          <w:ilvl w:val="0"/>
          <w:numId w:val="5"/>
        </w:numPr>
        <w:suppressAutoHyphens w:val="0"/>
        <w:spacing w:line="276" w:lineRule="auto"/>
        <w:ind w:left="0" w:firstLine="709"/>
        <w:rPr>
          <w:bCs/>
          <w:spacing w:val="2"/>
          <w:sz w:val="28"/>
          <w:szCs w:val="28"/>
          <w:lang w:eastAsia="ar-SA"/>
        </w:rPr>
      </w:pPr>
      <w:r w:rsidRPr="00D61696">
        <w:rPr>
          <w:color w:val="000000"/>
          <w:sz w:val="28"/>
          <w:szCs w:val="28"/>
          <w:lang w:eastAsia="ru-RU"/>
        </w:rPr>
        <w:t xml:space="preserve">Наибольшая доля в общем объеме отгруженных товаров пришлась на «Обрабатывающие производства» (92,7%). </w:t>
      </w:r>
      <w:r w:rsidRPr="00D25035">
        <w:rPr>
          <w:bCs/>
          <w:spacing w:val="2"/>
          <w:sz w:val="28"/>
          <w:szCs w:val="28"/>
          <w:lang w:eastAsia="ar-SA"/>
        </w:rPr>
        <w:t xml:space="preserve">В структуре промышленности города </w:t>
      </w:r>
      <w:r>
        <w:rPr>
          <w:bCs/>
          <w:spacing w:val="2"/>
          <w:sz w:val="28"/>
          <w:szCs w:val="28"/>
          <w:lang w:eastAsia="ar-SA"/>
        </w:rPr>
        <w:t>доля автомобилестроения</w:t>
      </w:r>
      <w:r w:rsidRPr="00D25035">
        <w:rPr>
          <w:bCs/>
          <w:spacing w:val="2"/>
          <w:sz w:val="28"/>
          <w:szCs w:val="28"/>
          <w:lang w:eastAsia="ar-SA"/>
        </w:rPr>
        <w:t xml:space="preserve"> </w:t>
      </w:r>
      <w:r>
        <w:rPr>
          <w:bCs/>
          <w:spacing w:val="2"/>
          <w:sz w:val="28"/>
          <w:szCs w:val="28"/>
          <w:lang w:eastAsia="ar-SA"/>
        </w:rPr>
        <w:t>существенно снизилась и составила</w:t>
      </w:r>
      <w:r w:rsidRPr="00D25035">
        <w:rPr>
          <w:bCs/>
          <w:spacing w:val="2"/>
          <w:sz w:val="28"/>
          <w:szCs w:val="28"/>
          <w:lang w:eastAsia="ar-SA"/>
        </w:rPr>
        <w:t xml:space="preserve"> 32,7% </w:t>
      </w:r>
      <w:r>
        <w:rPr>
          <w:bCs/>
          <w:spacing w:val="2"/>
          <w:sz w:val="28"/>
          <w:szCs w:val="28"/>
          <w:lang w:eastAsia="ar-SA"/>
        </w:rPr>
        <w:t>(в 2021 году – 51,8%), доля химического производства, соответственно, увеличилась до</w:t>
      </w:r>
      <w:r w:rsidRPr="00D25035">
        <w:rPr>
          <w:bCs/>
          <w:spacing w:val="2"/>
          <w:sz w:val="28"/>
          <w:szCs w:val="28"/>
          <w:lang w:eastAsia="ar-SA"/>
        </w:rPr>
        <w:t xml:space="preserve"> 46,5% </w:t>
      </w:r>
      <w:r>
        <w:rPr>
          <w:bCs/>
          <w:spacing w:val="2"/>
          <w:sz w:val="28"/>
          <w:szCs w:val="28"/>
          <w:lang w:eastAsia="ar-SA"/>
        </w:rPr>
        <w:t>(в 2021 году - 33,5%)</w:t>
      </w:r>
      <w:r w:rsidRPr="00D25035">
        <w:rPr>
          <w:bCs/>
          <w:spacing w:val="2"/>
          <w:sz w:val="28"/>
          <w:szCs w:val="28"/>
          <w:lang w:eastAsia="ar-SA"/>
        </w:rPr>
        <w:t>. Удельный вес других видов деятельности составил 20,8%</w:t>
      </w:r>
      <w:r w:rsidR="007832FF">
        <w:rPr>
          <w:bCs/>
          <w:spacing w:val="2"/>
          <w:sz w:val="28"/>
          <w:szCs w:val="28"/>
          <w:lang w:eastAsia="ar-SA"/>
        </w:rPr>
        <w:t xml:space="preserve"> (в 2021 году - 14,7%)</w:t>
      </w:r>
      <w:r w:rsidRPr="00D25035">
        <w:rPr>
          <w:bCs/>
          <w:spacing w:val="2"/>
          <w:sz w:val="28"/>
          <w:szCs w:val="28"/>
          <w:lang w:eastAsia="ar-SA"/>
        </w:rPr>
        <w:t>.</w:t>
      </w:r>
    </w:p>
    <w:p w:rsidR="00EC0E58" w:rsidRPr="002971AD" w:rsidRDefault="00EC0E58" w:rsidP="00BA753B">
      <w:pPr>
        <w:spacing w:line="276" w:lineRule="auto"/>
        <w:ind w:right="-1"/>
        <w:rPr>
          <w:sz w:val="28"/>
          <w:szCs w:val="28"/>
        </w:rPr>
      </w:pPr>
      <w:r w:rsidRPr="002971AD">
        <w:rPr>
          <w:sz w:val="28"/>
          <w:szCs w:val="28"/>
        </w:rPr>
        <w:t xml:space="preserve">Снижение производства продукции в отчетном периоде в обрабатывающем секторе демонстрировали следующие виды экономической деятельности: </w:t>
      </w:r>
    </w:p>
    <w:p w:rsidR="00EC0E58" w:rsidRDefault="00EC0E58" w:rsidP="00BA753B">
      <w:pPr>
        <w:spacing w:line="276" w:lineRule="auto"/>
        <w:ind w:right="-1"/>
        <w:rPr>
          <w:sz w:val="28"/>
          <w:szCs w:val="28"/>
        </w:rPr>
      </w:pPr>
      <w:r w:rsidRPr="00290C9F">
        <w:rPr>
          <w:sz w:val="28"/>
          <w:szCs w:val="28"/>
        </w:rPr>
        <w:t>- индекс производства автотранспортных средств, прицепов и полуприцепов составил 39,4</w:t>
      </w:r>
      <w:r w:rsidRPr="00CF39C5">
        <w:rPr>
          <w:sz w:val="28"/>
          <w:szCs w:val="28"/>
        </w:rPr>
        <w:t xml:space="preserve">%; объем отгруженной продукции сократился на 52,7% до 89 567,5 млн. руб., производство легковых автомобилей уменьшилось на 63,6% до 63 983 штук, производство комплектующих и принадлежностей для автотранспортных средств снизилось на 37,3%. </w:t>
      </w:r>
    </w:p>
    <w:p w:rsidR="003923E9" w:rsidRPr="003923E9" w:rsidRDefault="00EC0E58" w:rsidP="00BA753B">
      <w:pPr>
        <w:widowControl w:val="0"/>
        <w:numPr>
          <w:ilvl w:val="0"/>
          <w:numId w:val="5"/>
        </w:numPr>
        <w:spacing w:line="276" w:lineRule="auto"/>
        <w:ind w:left="0" w:firstLine="709"/>
        <w:rPr>
          <w:sz w:val="28"/>
          <w:szCs w:val="28"/>
        </w:rPr>
      </w:pPr>
      <w:r w:rsidRPr="004953E5">
        <w:rPr>
          <w:sz w:val="28"/>
          <w:szCs w:val="28"/>
        </w:rPr>
        <w:t xml:space="preserve">Основное влияние на динамику показателей в автомобилестроении оказывает деятельность АО «АВТОВАЗ». </w:t>
      </w:r>
      <w:r w:rsidR="003923E9" w:rsidRPr="003923E9">
        <w:rPr>
          <w:sz w:val="28"/>
          <w:szCs w:val="28"/>
        </w:rPr>
        <w:t xml:space="preserve">Производственные линии </w:t>
      </w:r>
      <w:r w:rsidR="003923E9">
        <w:rPr>
          <w:sz w:val="28"/>
          <w:szCs w:val="28"/>
        </w:rPr>
        <w:t xml:space="preserve">предприятия </w:t>
      </w:r>
      <w:r w:rsidR="003923E9" w:rsidRPr="003923E9">
        <w:rPr>
          <w:sz w:val="28"/>
          <w:szCs w:val="28"/>
        </w:rPr>
        <w:t>находились в простое с конца марта и до июня текущего года.</w:t>
      </w:r>
      <w:r w:rsidR="00B65F5F">
        <w:rPr>
          <w:sz w:val="28"/>
          <w:szCs w:val="28"/>
        </w:rPr>
        <w:t xml:space="preserve"> </w:t>
      </w:r>
    </w:p>
    <w:p w:rsidR="00AD70A7" w:rsidRPr="00F002DB" w:rsidRDefault="003923E9" w:rsidP="00792F2B">
      <w:pPr>
        <w:widowControl w:val="0"/>
        <w:numPr>
          <w:ilvl w:val="0"/>
          <w:numId w:val="5"/>
        </w:numPr>
        <w:spacing w:line="276" w:lineRule="auto"/>
        <w:ind w:left="0" w:right="-1" w:firstLine="709"/>
        <w:rPr>
          <w:sz w:val="28"/>
          <w:szCs w:val="28"/>
        </w:rPr>
      </w:pPr>
      <w:r w:rsidRPr="00F002DB">
        <w:rPr>
          <w:sz w:val="28"/>
          <w:szCs w:val="28"/>
        </w:rPr>
        <w:t>С</w:t>
      </w:r>
      <w:r w:rsidR="00EC0E58" w:rsidRPr="00F002DB">
        <w:rPr>
          <w:sz w:val="28"/>
          <w:szCs w:val="28"/>
        </w:rPr>
        <w:t xml:space="preserve"> 6 июня по 14 августа на АО «АВТОВАЗ» введена 4-дневная рабочая неделя</w:t>
      </w:r>
      <w:r w:rsidRPr="00F002DB">
        <w:rPr>
          <w:sz w:val="28"/>
          <w:szCs w:val="28"/>
        </w:rPr>
        <w:t>. В</w:t>
      </w:r>
      <w:r w:rsidR="00EC0E58" w:rsidRPr="00F002DB">
        <w:rPr>
          <w:sz w:val="28"/>
          <w:szCs w:val="28"/>
        </w:rPr>
        <w:t>озобновл</w:t>
      </w:r>
      <w:r w:rsidRPr="00F002DB">
        <w:rPr>
          <w:sz w:val="28"/>
          <w:szCs w:val="28"/>
        </w:rPr>
        <w:t>ено</w:t>
      </w:r>
      <w:r w:rsidR="00EC0E58" w:rsidRPr="00F002DB">
        <w:rPr>
          <w:sz w:val="28"/>
          <w:szCs w:val="28"/>
        </w:rPr>
        <w:t xml:space="preserve"> производств</w:t>
      </w:r>
      <w:r w:rsidRPr="00F002DB">
        <w:rPr>
          <w:sz w:val="28"/>
          <w:szCs w:val="28"/>
        </w:rPr>
        <w:t>о</w:t>
      </w:r>
      <w:r w:rsidR="00EC0E58" w:rsidRPr="00F002DB">
        <w:rPr>
          <w:sz w:val="28"/>
          <w:szCs w:val="28"/>
        </w:rPr>
        <w:t xml:space="preserve"> упрощенной Lada Granta, а в середине июля </w:t>
      </w:r>
      <w:r w:rsidRPr="00F002DB">
        <w:rPr>
          <w:sz w:val="28"/>
          <w:szCs w:val="28"/>
        </w:rPr>
        <w:t>-</w:t>
      </w:r>
      <w:r w:rsidR="00EC0E58" w:rsidRPr="00F002DB">
        <w:rPr>
          <w:sz w:val="28"/>
          <w:szCs w:val="28"/>
        </w:rPr>
        <w:t xml:space="preserve"> трехдверн</w:t>
      </w:r>
      <w:r w:rsidRPr="00F002DB">
        <w:rPr>
          <w:sz w:val="28"/>
          <w:szCs w:val="28"/>
        </w:rPr>
        <w:t>ого</w:t>
      </w:r>
      <w:r w:rsidR="00EC0E58" w:rsidRPr="00F002DB">
        <w:rPr>
          <w:sz w:val="28"/>
          <w:szCs w:val="28"/>
        </w:rPr>
        <w:t xml:space="preserve"> внедорожник</w:t>
      </w:r>
      <w:r w:rsidRPr="00F002DB">
        <w:rPr>
          <w:sz w:val="28"/>
          <w:szCs w:val="28"/>
        </w:rPr>
        <w:t>а</w:t>
      </w:r>
      <w:r w:rsidR="00EC0E58" w:rsidRPr="00F002DB">
        <w:rPr>
          <w:sz w:val="28"/>
          <w:szCs w:val="28"/>
        </w:rPr>
        <w:t xml:space="preserve"> </w:t>
      </w:r>
      <w:r w:rsidR="00EC0E58" w:rsidRPr="00F002DB">
        <w:rPr>
          <w:sz w:val="28"/>
          <w:szCs w:val="28"/>
          <w:lang w:val="en-US"/>
        </w:rPr>
        <w:t>Lada</w:t>
      </w:r>
      <w:r w:rsidR="00EC0E58" w:rsidRPr="00F002DB">
        <w:rPr>
          <w:sz w:val="28"/>
          <w:szCs w:val="28"/>
        </w:rPr>
        <w:t xml:space="preserve"> </w:t>
      </w:r>
      <w:r w:rsidR="00EC0E58" w:rsidRPr="00F002DB">
        <w:rPr>
          <w:sz w:val="28"/>
          <w:szCs w:val="28"/>
          <w:lang w:val="en-US"/>
        </w:rPr>
        <w:t>Niva</w:t>
      </w:r>
      <w:r w:rsidR="00EC0E58" w:rsidRPr="00F002DB">
        <w:rPr>
          <w:sz w:val="28"/>
          <w:szCs w:val="28"/>
        </w:rPr>
        <w:t xml:space="preserve"> </w:t>
      </w:r>
      <w:r w:rsidR="00EC0E58" w:rsidRPr="00F002DB">
        <w:rPr>
          <w:sz w:val="28"/>
          <w:szCs w:val="28"/>
          <w:lang w:val="en-US"/>
        </w:rPr>
        <w:t>Legend</w:t>
      </w:r>
      <w:r w:rsidR="00EC0E58" w:rsidRPr="00F002DB">
        <w:rPr>
          <w:sz w:val="28"/>
          <w:szCs w:val="28"/>
        </w:rPr>
        <w:t xml:space="preserve"> в специальной комплектации. </w:t>
      </w:r>
      <w:r w:rsidR="00EC0E58" w:rsidRPr="00F002DB">
        <w:rPr>
          <w:color w:val="000000"/>
          <w:sz w:val="28"/>
          <w:szCs w:val="28"/>
        </w:rPr>
        <w:t xml:space="preserve">С 29 августа </w:t>
      </w:r>
      <w:r w:rsidR="00F76AE5" w:rsidRPr="00F002DB">
        <w:rPr>
          <w:color w:val="000000"/>
          <w:sz w:val="28"/>
          <w:szCs w:val="28"/>
        </w:rPr>
        <w:t>АО «АВТОВАЗ» перешел на 6-дневную рабочую неделю</w:t>
      </w:r>
      <w:r w:rsidR="00AD70A7" w:rsidRPr="00F002DB">
        <w:rPr>
          <w:color w:val="000000"/>
          <w:sz w:val="28"/>
          <w:szCs w:val="28"/>
        </w:rPr>
        <w:t xml:space="preserve">, этот режим предприятие планирует сохранить </w:t>
      </w:r>
      <w:r w:rsidR="00EC0E58" w:rsidRPr="00F002DB">
        <w:rPr>
          <w:color w:val="000000"/>
          <w:sz w:val="28"/>
          <w:szCs w:val="28"/>
        </w:rPr>
        <w:t>по 27 ноября 2022 года</w:t>
      </w:r>
      <w:r w:rsidR="00AD70A7" w:rsidRPr="00F002DB">
        <w:rPr>
          <w:color w:val="000000"/>
          <w:sz w:val="28"/>
          <w:szCs w:val="28"/>
        </w:rPr>
        <w:t>.</w:t>
      </w:r>
      <w:r w:rsidR="00F002DB" w:rsidRPr="00F002DB">
        <w:rPr>
          <w:sz w:val="26"/>
          <w:szCs w:val="26"/>
          <w:lang w:eastAsia="ru-RU"/>
        </w:rPr>
        <w:t xml:space="preserve"> </w:t>
      </w:r>
      <w:r w:rsidR="00F002DB" w:rsidRPr="00F002DB">
        <w:rPr>
          <w:sz w:val="28"/>
          <w:szCs w:val="28"/>
        </w:rPr>
        <w:t>По данным предприятия, по итогам сентября 2022 года в России реализовано 20,6 тыс. автомобилей LADA, что на 14,1% выше, чем в августе 2022 года, и на 20,1% выше сентября 2021 года.</w:t>
      </w:r>
    </w:p>
    <w:p w:rsidR="00EC0E58" w:rsidRPr="008925B8" w:rsidRDefault="00EC0E58" w:rsidP="00BA753B">
      <w:pPr>
        <w:widowControl w:val="0"/>
        <w:numPr>
          <w:ilvl w:val="0"/>
          <w:numId w:val="5"/>
        </w:numPr>
        <w:spacing w:line="276" w:lineRule="auto"/>
        <w:ind w:left="0" w:right="-1" w:firstLine="709"/>
        <w:rPr>
          <w:sz w:val="28"/>
          <w:szCs w:val="28"/>
        </w:rPr>
      </w:pPr>
      <w:r w:rsidRPr="008925B8">
        <w:rPr>
          <w:sz w:val="28"/>
          <w:szCs w:val="28"/>
        </w:rPr>
        <w:t xml:space="preserve">Вопросы развития автомобильной промышленности страны рассматривались на XXV Петербургском экономическом форуме. В ходе совещания 16 июня текущего года Президент страны Владимир Путин озвучил ряд поручений, направленных на дальнейшее развитие автопрома в стране: снабжение предприятий необходимыми компонентами, меры по стимулированию спроса на автомобили, сохранение занятости трудовых коллективов. </w:t>
      </w:r>
    </w:p>
    <w:p w:rsidR="00EC0E58" w:rsidRPr="008925B8" w:rsidRDefault="00EC0E58" w:rsidP="00BA753B">
      <w:pPr>
        <w:widowControl w:val="0"/>
        <w:numPr>
          <w:ilvl w:val="0"/>
          <w:numId w:val="5"/>
        </w:numPr>
        <w:spacing w:line="276" w:lineRule="auto"/>
        <w:ind w:left="0" w:right="-1" w:firstLine="709"/>
        <w:rPr>
          <w:sz w:val="28"/>
          <w:szCs w:val="28"/>
        </w:rPr>
      </w:pPr>
      <w:r w:rsidRPr="008925B8">
        <w:rPr>
          <w:sz w:val="28"/>
          <w:szCs w:val="28"/>
        </w:rPr>
        <w:t>В соответствии с поручением Президента Российской Федерации Владимира Путина Минпромторг России подготовил законопроект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Это даст возможность продлить действие СПИК в автомобильной промышленности на период до 31 декабря 2033 года.</w:t>
      </w:r>
    </w:p>
    <w:p w:rsidR="00EC0E58" w:rsidRPr="00191E1C" w:rsidRDefault="00EC0E58" w:rsidP="00BA753B">
      <w:pPr>
        <w:widowControl w:val="0"/>
        <w:numPr>
          <w:ilvl w:val="0"/>
          <w:numId w:val="5"/>
        </w:numPr>
        <w:spacing w:line="276" w:lineRule="auto"/>
        <w:ind w:left="0" w:right="-1" w:firstLine="709"/>
        <w:rPr>
          <w:color w:val="000000"/>
          <w:sz w:val="28"/>
          <w:szCs w:val="28"/>
          <w:highlight w:val="yellow"/>
        </w:rPr>
      </w:pPr>
      <w:r w:rsidRPr="00191E1C">
        <w:rPr>
          <w:sz w:val="28"/>
          <w:szCs w:val="28"/>
        </w:rPr>
        <w:t xml:space="preserve">Такие меры позволят скорректировать сроки окупаемости инвестиционных проектов и повысить стабильность условий их реализации. Также это позволит обеспечить создание 10-летнего горизонта планирования, что увеличит привлекательность российского автопрома, и АО «АВТОВАЗ» в частности, с точки зрения инвестиций в его развитие. </w:t>
      </w:r>
    </w:p>
    <w:p w:rsidR="003923E9" w:rsidRPr="00F76AE5" w:rsidRDefault="003923E9" w:rsidP="00BA753B">
      <w:pPr>
        <w:widowControl w:val="0"/>
        <w:numPr>
          <w:ilvl w:val="0"/>
          <w:numId w:val="5"/>
        </w:numPr>
        <w:spacing w:line="276" w:lineRule="auto"/>
        <w:ind w:left="0" w:right="-1" w:firstLine="709"/>
        <w:rPr>
          <w:sz w:val="28"/>
          <w:szCs w:val="28"/>
          <w:highlight w:val="cyan"/>
        </w:rPr>
      </w:pPr>
      <w:r>
        <w:rPr>
          <w:color w:val="000000"/>
          <w:sz w:val="28"/>
          <w:szCs w:val="28"/>
        </w:rPr>
        <w:t xml:space="preserve">В середине июля Минпромторг России возобновил реализацию </w:t>
      </w:r>
      <w:r w:rsidRPr="007459EE">
        <w:rPr>
          <w:color w:val="000000"/>
          <w:sz w:val="28"/>
          <w:szCs w:val="28"/>
        </w:rPr>
        <w:t>программ</w:t>
      </w:r>
      <w:r>
        <w:rPr>
          <w:color w:val="000000"/>
          <w:sz w:val="28"/>
          <w:szCs w:val="28"/>
        </w:rPr>
        <w:t>ы</w:t>
      </w:r>
      <w:r w:rsidRPr="007459EE">
        <w:rPr>
          <w:color w:val="000000"/>
          <w:sz w:val="28"/>
          <w:szCs w:val="28"/>
        </w:rPr>
        <w:t xml:space="preserve"> льготного </w:t>
      </w:r>
      <w:r>
        <w:rPr>
          <w:color w:val="000000"/>
          <w:sz w:val="28"/>
          <w:szCs w:val="28"/>
        </w:rPr>
        <w:t>авто</w:t>
      </w:r>
      <w:r w:rsidRPr="007459EE">
        <w:rPr>
          <w:color w:val="000000"/>
          <w:sz w:val="28"/>
          <w:szCs w:val="28"/>
        </w:rPr>
        <w:t>кредитования (первый, семейный авто)</w:t>
      </w:r>
      <w:r>
        <w:rPr>
          <w:color w:val="000000"/>
          <w:sz w:val="28"/>
          <w:szCs w:val="28"/>
        </w:rPr>
        <w:t>, по условиям которой скидка составит 20% от стоимости автомобиля, который должен быть не дороже 2 млн. руб.</w:t>
      </w:r>
      <w:r w:rsidR="00D23C74">
        <w:rPr>
          <w:color w:val="000000"/>
          <w:sz w:val="28"/>
          <w:szCs w:val="28"/>
        </w:rPr>
        <w:t xml:space="preserve"> В текущем году организованы временные работы, в которых приняли участие около 25 тыс. работников АО «АВТОВАЗ».</w:t>
      </w:r>
    </w:p>
    <w:p w:rsidR="00EC0E58" w:rsidRPr="00B65F5F" w:rsidRDefault="00D23C74" w:rsidP="00BA753B">
      <w:pPr>
        <w:widowControl w:val="0"/>
        <w:numPr>
          <w:ilvl w:val="0"/>
          <w:numId w:val="5"/>
        </w:numPr>
        <w:spacing w:line="276" w:lineRule="auto"/>
        <w:ind w:left="0" w:right="-1" w:firstLine="709"/>
        <w:rPr>
          <w:sz w:val="28"/>
          <w:szCs w:val="28"/>
        </w:rPr>
      </w:pPr>
      <w:r w:rsidRPr="00D23C74">
        <w:rPr>
          <w:color w:val="000000"/>
          <w:sz w:val="28"/>
          <w:szCs w:val="28"/>
        </w:rPr>
        <w:t xml:space="preserve">С учетом имеющегося спроса, благодаря мерам </w:t>
      </w:r>
      <w:r>
        <w:rPr>
          <w:color w:val="000000"/>
          <w:sz w:val="28"/>
          <w:szCs w:val="28"/>
        </w:rPr>
        <w:t>государственной</w:t>
      </w:r>
      <w:r w:rsidRPr="00D23C74">
        <w:rPr>
          <w:color w:val="000000"/>
          <w:sz w:val="28"/>
          <w:szCs w:val="28"/>
        </w:rPr>
        <w:t xml:space="preserve"> поддержки</w:t>
      </w:r>
      <w:r>
        <w:rPr>
          <w:color w:val="000000"/>
          <w:sz w:val="28"/>
          <w:szCs w:val="28"/>
        </w:rPr>
        <w:t>,</w:t>
      </w:r>
      <w:r w:rsidRPr="00B65F5F">
        <w:rPr>
          <w:bCs/>
          <w:spacing w:val="2"/>
          <w:sz w:val="28"/>
          <w:szCs w:val="28"/>
          <w:lang w:eastAsia="ar-SA"/>
        </w:rPr>
        <w:t xml:space="preserve"> </w:t>
      </w:r>
      <w:r>
        <w:rPr>
          <w:bCs/>
          <w:spacing w:val="2"/>
          <w:sz w:val="28"/>
          <w:szCs w:val="28"/>
          <w:lang w:eastAsia="ar-SA"/>
        </w:rPr>
        <w:t>в</w:t>
      </w:r>
      <w:r w:rsidR="00B65F5F" w:rsidRPr="00B65F5F">
        <w:rPr>
          <w:bCs/>
          <w:spacing w:val="2"/>
          <w:sz w:val="28"/>
          <w:szCs w:val="28"/>
          <w:lang w:eastAsia="ar-SA"/>
        </w:rPr>
        <w:t>о втором полугодии 2022 года АО «АВТОВАЗ» планирует нарастить выпуск автомобилей как минимум в два раза к уровню первого полугодия.</w:t>
      </w:r>
      <w:r w:rsidR="00B65F5F">
        <w:rPr>
          <w:bCs/>
          <w:spacing w:val="2"/>
          <w:sz w:val="28"/>
          <w:szCs w:val="28"/>
          <w:lang w:eastAsia="ar-SA"/>
        </w:rPr>
        <w:t xml:space="preserve"> </w:t>
      </w:r>
      <w:r w:rsidR="00EC0E58" w:rsidRPr="00B65F5F">
        <w:rPr>
          <w:color w:val="000000"/>
          <w:sz w:val="28"/>
          <w:szCs w:val="28"/>
        </w:rPr>
        <w:t xml:space="preserve">Учитывая планы по выпуску </w:t>
      </w:r>
      <w:r w:rsidR="00466E22" w:rsidRPr="00B65F5F">
        <w:rPr>
          <w:color w:val="000000"/>
          <w:sz w:val="28"/>
          <w:szCs w:val="28"/>
        </w:rPr>
        <w:t xml:space="preserve">автомобилей </w:t>
      </w:r>
      <w:r>
        <w:rPr>
          <w:color w:val="000000"/>
          <w:sz w:val="28"/>
          <w:szCs w:val="28"/>
        </w:rPr>
        <w:t xml:space="preserve">индекс промышленного производства в автомобилестроении </w:t>
      </w:r>
      <w:r w:rsidR="00EC0E58" w:rsidRPr="00B65F5F">
        <w:rPr>
          <w:sz w:val="28"/>
          <w:szCs w:val="28"/>
        </w:rPr>
        <w:t xml:space="preserve">оценивается на уровне </w:t>
      </w:r>
      <w:r>
        <w:rPr>
          <w:sz w:val="28"/>
          <w:szCs w:val="28"/>
        </w:rPr>
        <w:t>71,0%</w:t>
      </w:r>
      <w:r w:rsidR="00EC0E58" w:rsidRPr="00B65F5F">
        <w:rPr>
          <w:sz w:val="28"/>
          <w:szCs w:val="28"/>
        </w:rPr>
        <w:t>, объем отгруженной автомобильной пр</w:t>
      </w:r>
      <w:r w:rsidR="00BC36B0" w:rsidRPr="00B65F5F">
        <w:rPr>
          <w:sz w:val="28"/>
          <w:szCs w:val="28"/>
        </w:rPr>
        <w:t xml:space="preserve">одукции оценивается на сумму </w:t>
      </w:r>
      <w:r w:rsidR="00466E22" w:rsidRPr="00B65F5F">
        <w:rPr>
          <w:sz w:val="28"/>
          <w:szCs w:val="28"/>
        </w:rPr>
        <w:t>212 590,5</w:t>
      </w:r>
      <w:r w:rsidR="00EC0E58" w:rsidRPr="00B65F5F">
        <w:rPr>
          <w:sz w:val="28"/>
          <w:szCs w:val="28"/>
        </w:rPr>
        <w:t xml:space="preserve"> млн. руб. (</w:t>
      </w:r>
      <w:r w:rsidR="00466E22" w:rsidRPr="00B65F5F">
        <w:rPr>
          <w:sz w:val="28"/>
          <w:szCs w:val="28"/>
        </w:rPr>
        <w:t>на 38,9%</w:t>
      </w:r>
      <w:r w:rsidR="00EC0E58" w:rsidRPr="00B65F5F">
        <w:rPr>
          <w:sz w:val="28"/>
          <w:szCs w:val="28"/>
        </w:rPr>
        <w:t xml:space="preserve"> меньше 2021 года);</w:t>
      </w:r>
    </w:p>
    <w:p w:rsidR="00EC0E58" w:rsidRPr="00555BD7" w:rsidRDefault="00EC0E58" w:rsidP="00555BD7">
      <w:pPr>
        <w:pStyle w:val="afb"/>
        <w:spacing w:line="276" w:lineRule="auto"/>
        <w:ind w:left="0"/>
        <w:rPr>
          <w:sz w:val="28"/>
          <w:szCs w:val="28"/>
        </w:rPr>
      </w:pPr>
      <w:r w:rsidRPr="0081025C">
        <w:rPr>
          <w:sz w:val="28"/>
          <w:szCs w:val="28"/>
        </w:rPr>
        <w:t xml:space="preserve">- индекс производства химических веществ и химических продуктов в </w:t>
      </w:r>
      <w:r w:rsidR="00D10EC9">
        <w:rPr>
          <w:rFonts w:eastAsia="Calibri"/>
          <w:color w:val="000000" w:themeColor="text1"/>
          <w:sz w:val="28"/>
          <w:szCs w:val="28"/>
          <w:lang w:val="en-US" w:eastAsia="en-US"/>
        </w:rPr>
        <w:t>I</w:t>
      </w:r>
      <w:r w:rsidR="00D10EC9" w:rsidRPr="0024684D">
        <w:rPr>
          <w:rFonts w:eastAsia="Calibri"/>
          <w:color w:val="000000" w:themeColor="text1"/>
          <w:sz w:val="28"/>
          <w:szCs w:val="28"/>
          <w:lang w:eastAsia="en-US"/>
        </w:rPr>
        <w:t xml:space="preserve"> полугоди</w:t>
      </w:r>
      <w:r w:rsidR="00D10EC9">
        <w:rPr>
          <w:rFonts w:eastAsia="Calibri"/>
          <w:color w:val="000000" w:themeColor="text1"/>
          <w:sz w:val="28"/>
          <w:szCs w:val="28"/>
          <w:lang w:eastAsia="en-US"/>
        </w:rPr>
        <w:t>и</w:t>
      </w:r>
      <w:r w:rsidRPr="0081025C">
        <w:rPr>
          <w:sz w:val="28"/>
          <w:szCs w:val="28"/>
        </w:rPr>
        <w:t xml:space="preserve"> 202</w:t>
      </w:r>
      <w:r w:rsidR="00D23C74">
        <w:rPr>
          <w:sz w:val="28"/>
          <w:szCs w:val="28"/>
        </w:rPr>
        <w:t>2</w:t>
      </w:r>
      <w:r w:rsidRPr="0081025C">
        <w:rPr>
          <w:sz w:val="28"/>
          <w:szCs w:val="28"/>
        </w:rPr>
        <w:t xml:space="preserve"> </w:t>
      </w:r>
      <w:r w:rsidRPr="00371743">
        <w:rPr>
          <w:sz w:val="28"/>
          <w:szCs w:val="28"/>
        </w:rPr>
        <w:t xml:space="preserve">года составил 82,6%. </w:t>
      </w:r>
      <w:r w:rsidR="00555BD7" w:rsidRPr="00A645F7">
        <w:rPr>
          <w:sz w:val="28"/>
          <w:szCs w:val="28"/>
        </w:rPr>
        <w:t xml:space="preserve">Сокращение объемов производства в отрасли обусловлено </w:t>
      </w:r>
      <w:r w:rsidR="00555BD7" w:rsidRPr="00555BD7">
        <w:rPr>
          <w:sz w:val="28"/>
          <w:szCs w:val="28"/>
        </w:rPr>
        <w:t>складывающейся геополитической ситуацией. У</w:t>
      </w:r>
      <w:r w:rsidR="00555BD7" w:rsidRPr="00555BD7">
        <w:rPr>
          <w:sz w:val="28"/>
          <w:szCs w:val="28"/>
          <w:shd w:val="clear" w:color="auto" w:fill="FFFFFF"/>
        </w:rPr>
        <w:t xml:space="preserve"> производителей отмечаются логистические проблемы. </w:t>
      </w:r>
      <w:r w:rsidR="00555BD7">
        <w:rPr>
          <w:sz w:val="28"/>
          <w:szCs w:val="28"/>
          <w:shd w:val="clear" w:color="auto" w:fill="FFFFFF"/>
        </w:rPr>
        <w:t>Так, в</w:t>
      </w:r>
      <w:r w:rsidR="00555BD7" w:rsidRPr="00555BD7">
        <w:rPr>
          <w:sz w:val="28"/>
          <w:szCs w:val="28"/>
          <w:lang w:eastAsia="ru-RU"/>
        </w:rPr>
        <w:t xml:space="preserve"> результате закрытия трубопровода, поставляющего аммиак через территорию Украины, производство аммиака в городском округе Тольятти в </w:t>
      </w:r>
      <w:r w:rsidR="00555BD7" w:rsidRPr="00555BD7">
        <w:rPr>
          <w:sz w:val="28"/>
          <w:szCs w:val="28"/>
          <w:lang w:val="en-US" w:eastAsia="ru-RU"/>
        </w:rPr>
        <w:t>I</w:t>
      </w:r>
      <w:r w:rsidR="00555BD7" w:rsidRPr="00555BD7">
        <w:rPr>
          <w:sz w:val="28"/>
          <w:szCs w:val="28"/>
          <w:lang w:eastAsia="ru-RU"/>
        </w:rPr>
        <w:t xml:space="preserve"> полугодии 2022 года снизилось на 35,1%. </w:t>
      </w:r>
      <w:r w:rsidRPr="00555BD7">
        <w:rPr>
          <w:sz w:val="28"/>
          <w:szCs w:val="28"/>
        </w:rPr>
        <w:t xml:space="preserve">Производство минеральных или химических удобрений упало на 5,3%, карбоната – на 5,2%, пластмассы в первичных формах - на 12,9%, полиамида в первичных формах - на 6,3%, синтетических каучуков – на 8,7%. </w:t>
      </w:r>
      <w:r w:rsidRPr="00555BD7">
        <w:rPr>
          <w:sz w:val="28"/>
          <w:szCs w:val="28"/>
          <w:shd w:val="clear" w:color="auto" w:fill="FFFFFF"/>
        </w:rPr>
        <w:t xml:space="preserve">При этом, объем реализованной химической продукции вырос на 36,3% </w:t>
      </w:r>
      <w:r w:rsidRPr="00555BD7">
        <w:rPr>
          <w:sz w:val="28"/>
          <w:szCs w:val="28"/>
        </w:rPr>
        <w:t>до 127 510,4 млн. руб.</w:t>
      </w:r>
      <w:r w:rsidRPr="00555BD7">
        <w:rPr>
          <w:bCs/>
          <w:spacing w:val="2"/>
          <w:sz w:val="28"/>
          <w:szCs w:val="28"/>
          <w:lang w:eastAsia="ar-SA"/>
        </w:rPr>
        <w:t>, что стало следствием высоких цен на внешнем рынке.</w:t>
      </w:r>
    </w:p>
    <w:p w:rsidR="00EC0E58" w:rsidRPr="003B4903" w:rsidRDefault="00EC0E58" w:rsidP="00BA753B">
      <w:pPr>
        <w:widowControl w:val="0"/>
        <w:spacing w:line="276" w:lineRule="auto"/>
        <w:rPr>
          <w:rFonts w:eastAsia="Calibri"/>
          <w:sz w:val="28"/>
          <w:szCs w:val="28"/>
        </w:rPr>
      </w:pPr>
      <w:r w:rsidRPr="00955C08">
        <w:rPr>
          <w:rFonts w:eastAsia="Calibri"/>
          <w:sz w:val="28"/>
          <w:szCs w:val="28"/>
        </w:rPr>
        <w:t>С учетом динамики производства химической продукции, а также на основании собственных прогнозов крупнейших химических предприятий города, по итогам 202</w:t>
      </w:r>
      <w:r>
        <w:rPr>
          <w:rFonts w:eastAsia="Calibri"/>
          <w:sz w:val="28"/>
          <w:szCs w:val="28"/>
        </w:rPr>
        <w:t>2</w:t>
      </w:r>
      <w:r w:rsidRPr="00955C08">
        <w:rPr>
          <w:rFonts w:eastAsia="Calibri"/>
          <w:sz w:val="28"/>
          <w:szCs w:val="28"/>
        </w:rPr>
        <w:t xml:space="preserve"> года индекс химического производства оценочно </w:t>
      </w:r>
      <w:r w:rsidRPr="00BC36B0">
        <w:rPr>
          <w:rFonts w:eastAsia="Calibri"/>
          <w:sz w:val="28"/>
          <w:szCs w:val="28"/>
        </w:rPr>
        <w:t xml:space="preserve">составит </w:t>
      </w:r>
      <w:r w:rsidR="00466E22">
        <w:rPr>
          <w:rFonts w:eastAsia="Calibri"/>
          <w:sz w:val="28"/>
          <w:szCs w:val="28"/>
        </w:rPr>
        <w:t>73,3</w:t>
      </w:r>
      <w:r w:rsidRPr="00BC36B0">
        <w:rPr>
          <w:rFonts w:eastAsia="Calibri"/>
          <w:sz w:val="28"/>
          <w:szCs w:val="28"/>
        </w:rPr>
        <w:t>%, объем</w:t>
      </w:r>
      <w:r w:rsidRPr="003B4903">
        <w:rPr>
          <w:rFonts w:eastAsia="Calibri"/>
          <w:sz w:val="28"/>
          <w:szCs w:val="28"/>
        </w:rPr>
        <w:t xml:space="preserve"> отгруженной химической продукции </w:t>
      </w:r>
      <w:r w:rsidR="00BC36B0" w:rsidRPr="00BC36B0">
        <w:rPr>
          <w:rFonts w:eastAsia="Calibri"/>
          <w:sz w:val="28"/>
          <w:szCs w:val="28"/>
        </w:rPr>
        <w:t>увеличится на 10</w:t>
      </w:r>
      <w:r w:rsidRPr="00BC36B0">
        <w:rPr>
          <w:rFonts w:eastAsia="Calibri"/>
          <w:sz w:val="28"/>
          <w:szCs w:val="28"/>
        </w:rPr>
        <w:t>,</w:t>
      </w:r>
      <w:r w:rsidR="00BC36B0" w:rsidRPr="00BC36B0">
        <w:rPr>
          <w:rFonts w:eastAsia="Calibri"/>
          <w:sz w:val="28"/>
          <w:szCs w:val="28"/>
        </w:rPr>
        <w:t>0</w:t>
      </w:r>
      <w:r w:rsidRPr="00BC36B0">
        <w:rPr>
          <w:rFonts w:eastAsia="Calibri"/>
          <w:sz w:val="28"/>
          <w:szCs w:val="28"/>
        </w:rPr>
        <w:t>% до 2</w:t>
      </w:r>
      <w:r w:rsidR="00915B51">
        <w:rPr>
          <w:rFonts w:eastAsia="Calibri"/>
          <w:sz w:val="28"/>
          <w:szCs w:val="28"/>
        </w:rPr>
        <w:t>48</w:t>
      </w:r>
      <w:r w:rsidRPr="00BC36B0">
        <w:rPr>
          <w:rFonts w:eastAsia="Calibri"/>
          <w:sz w:val="28"/>
          <w:szCs w:val="28"/>
        </w:rPr>
        <w:t> </w:t>
      </w:r>
      <w:r w:rsidR="00915B51">
        <w:rPr>
          <w:rFonts w:eastAsia="Calibri"/>
          <w:sz w:val="28"/>
          <w:szCs w:val="28"/>
        </w:rPr>
        <w:t>134</w:t>
      </w:r>
      <w:r w:rsidRPr="00BC36B0">
        <w:rPr>
          <w:rFonts w:eastAsia="Calibri"/>
          <w:sz w:val="28"/>
          <w:szCs w:val="28"/>
        </w:rPr>
        <w:t>,</w:t>
      </w:r>
      <w:r w:rsidR="00915B51">
        <w:rPr>
          <w:rFonts w:eastAsia="Calibri"/>
          <w:sz w:val="28"/>
          <w:szCs w:val="28"/>
        </w:rPr>
        <w:t>5</w:t>
      </w:r>
      <w:r w:rsidRPr="00BC36B0">
        <w:rPr>
          <w:rFonts w:eastAsia="Calibri"/>
          <w:sz w:val="28"/>
          <w:szCs w:val="28"/>
        </w:rPr>
        <w:t xml:space="preserve"> млн. руб.</w:t>
      </w:r>
      <w:r w:rsidR="00555BD7">
        <w:rPr>
          <w:rFonts w:eastAsia="Calibri"/>
          <w:sz w:val="28"/>
          <w:szCs w:val="28"/>
        </w:rPr>
        <w:t>;</w:t>
      </w:r>
      <w:r w:rsidRPr="003B4903">
        <w:rPr>
          <w:rFonts w:eastAsia="Calibri"/>
          <w:sz w:val="28"/>
          <w:szCs w:val="28"/>
        </w:rPr>
        <w:t xml:space="preserve">  </w:t>
      </w:r>
    </w:p>
    <w:p w:rsidR="00EC0E58" w:rsidRDefault="00EC0E58" w:rsidP="00BA753B">
      <w:pPr>
        <w:spacing w:line="276" w:lineRule="auto"/>
        <w:ind w:right="-1"/>
        <w:rPr>
          <w:sz w:val="28"/>
          <w:szCs w:val="28"/>
        </w:rPr>
      </w:pPr>
      <w:r w:rsidRPr="00371743">
        <w:rPr>
          <w:sz w:val="28"/>
          <w:szCs w:val="28"/>
        </w:rPr>
        <w:t xml:space="preserve">- индекс производства пищевых продуктов снизился до 89,4%, в том числе производство мяса и субпродуктов сократилось на 3,7%, </w:t>
      </w:r>
      <w:r w:rsidRPr="00C41C8D">
        <w:rPr>
          <w:sz w:val="28"/>
          <w:szCs w:val="28"/>
        </w:rPr>
        <w:t>колбасных изделий – на 21,5% до 13,4 тыс. тонн, полуфабрикатов мясных – на 15,9% до 3,9 тыс. тонн</w:t>
      </w:r>
      <w:r w:rsidRPr="00754031">
        <w:rPr>
          <w:sz w:val="28"/>
          <w:szCs w:val="28"/>
        </w:rPr>
        <w:t>, тортов и пирожных недлительного хранения – на 24,3% до 0,2 тыс. тонн</w:t>
      </w:r>
      <w:r>
        <w:rPr>
          <w:sz w:val="28"/>
          <w:szCs w:val="28"/>
        </w:rPr>
        <w:t xml:space="preserve">, </w:t>
      </w:r>
      <w:r w:rsidRPr="008310F6">
        <w:rPr>
          <w:sz w:val="28"/>
          <w:szCs w:val="28"/>
        </w:rPr>
        <w:t>кондитерских изделий - на 6,6% до 3,6 тыс. тонн.  При</w:t>
      </w:r>
      <w:r w:rsidRPr="00754031">
        <w:rPr>
          <w:sz w:val="28"/>
          <w:szCs w:val="28"/>
        </w:rPr>
        <w:t xml:space="preserve"> этом увеличилось производство: молока (кроме сырого) - на 1</w:t>
      </w:r>
      <w:r>
        <w:rPr>
          <w:sz w:val="28"/>
          <w:szCs w:val="28"/>
        </w:rPr>
        <w:t>9</w:t>
      </w:r>
      <w:r w:rsidRPr="00754031">
        <w:rPr>
          <w:sz w:val="28"/>
          <w:szCs w:val="28"/>
        </w:rPr>
        <w:t>,</w:t>
      </w:r>
      <w:r>
        <w:rPr>
          <w:sz w:val="28"/>
          <w:szCs w:val="28"/>
        </w:rPr>
        <w:t>1</w:t>
      </w:r>
      <w:r w:rsidRPr="00754031">
        <w:rPr>
          <w:sz w:val="28"/>
          <w:szCs w:val="28"/>
        </w:rPr>
        <w:t>%; масла сливочного – на 0,4</w:t>
      </w:r>
      <w:r>
        <w:rPr>
          <w:sz w:val="28"/>
          <w:szCs w:val="28"/>
        </w:rPr>
        <w:t>%,</w:t>
      </w:r>
      <w:r w:rsidRPr="00754031">
        <w:rPr>
          <w:sz w:val="28"/>
          <w:szCs w:val="28"/>
        </w:rPr>
        <w:t xml:space="preserve"> </w:t>
      </w:r>
      <w:r w:rsidRPr="008310F6">
        <w:rPr>
          <w:sz w:val="28"/>
          <w:szCs w:val="28"/>
        </w:rPr>
        <w:t>хлеба и хлебобулочных изделий – на 9,5% до 14,7</w:t>
      </w:r>
      <w:r>
        <w:rPr>
          <w:sz w:val="28"/>
          <w:szCs w:val="28"/>
        </w:rPr>
        <w:t xml:space="preserve"> тыс. тонн. При </w:t>
      </w:r>
      <w:r w:rsidRPr="008310F6">
        <w:rPr>
          <w:sz w:val="28"/>
          <w:szCs w:val="28"/>
        </w:rPr>
        <w:t>этом объем отгруженной пищевой продукции за период с начала отчетного года к соответствующему периоду прошлого года увеличился на 22,0% до 9 961,7 млн. руб.;</w:t>
      </w:r>
    </w:p>
    <w:p w:rsidR="00EC0E58" w:rsidRPr="008310F6" w:rsidRDefault="00EC0E58" w:rsidP="00BA753B">
      <w:pPr>
        <w:spacing w:line="276" w:lineRule="auto"/>
        <w:ind w:right="-1"/>
        <w:rPr>
          <w:sz w:val="28"/>
          <w:szCs w:val="28"/>
        </w:rPr>
      </w:pPr>
      <w:r w:rsidRPr="008310F6">
        <w:rPr>
          <w:sz w:val="28"/>
          <w:szCs w:val="28"/>
        </w:rPr>
        <w:t>- индекс производства текстильных изделий составил 75,9%, объем отгруженной продукции  снизился на 7,0% и составил 1</w:t>
      </w:r>
      <w:r w:rsidR="00A31752">
        <w:rPr>
          <w:sz w:val="28"/>
          <w:szCs w:val="28"/>
        </w:rPr>
        <w:t xml:space="preserve"> </w:t>
      </w:r>
      <w:r w:rsidRPr="008310F6">
        <w:rPr>
          <w:sz w:val="28"/>
          <w:szCs w:val="28"/>
        </w:rPr>
        <w:t>530,0 млн. руб.;</w:t>
      </w:r>
    </w:p>
    <w:p w:rsidR="00EC0E58" w:rsidRPr="008310F6" w:rsidRDefault="00EC0E58" w:rsidP="00BA753B">
      <w:pPr>
        <w:spacing w:line="276" w:lineRule="auto"/>
        <w:ind w:right="-1"/>
        <w:rPr>
          <w:sz w:val="28"/>
          <w:szCs w:val="28"/>
        </w:rPr>
      </w:pPr>
      <w:r w:rsidRPr="008310F6">
        <w:rPr>
          <w:sz w:val="28"/>
          <w:szCs w:val="28"/>
        </w:rPr>
        <w:t>- индекс производства резиновых и пластмассовых изделий – 94,5%; объем отгруженной продукции снизился на 8,2% до 2 819,6 млн. руб.;</w:t>
      </w:r>
    </w:p>
    <w:p w:rsidR="00EC0E58" w:rsidRPr="00047839" w:rsidRDefault="00EC0E58" w:rsidP="00BA753B">
      <w:pPr>
        <w:spacing w:line="276" w:lineRule="auto"/>
        <w:ind w:right="-1"/>
        <w:rPr>
          <w:sz w:val="28"/>
          <w:szCs w:val="28"/>
        </w:rPr>
      </w:pPr>
      <w:r w:rsidRPr="00047839">
        <w:rPr>
          <w:sz w:val="28"/>
          <w:szCs w:val="28"/>
        </w:rPr>
        <w:t>- индекс металлургического производства составил 82,5%; объем отгруженной продукции по данному виду деятельности увеличился в 2,9 раза до 13</w:t>
      </w:r>
      <w:r w:rsidR="00A31752">
        <w:rPr>
          <w:sz w:val="28"/>
          <w:szCs w:val="28"/>
        </w:rPr>
        <w:t xml:space="preserve"> </w:t>
      </w:r>
      <w:r w:rsidRPr="00047839">
        <w:rPr>
          <w:sz w:val="28"/>
          <w:szCs w:val="28"/>
        </w:rPr>
        <w:t>054,0 млн. руб.;</w:t>
      </w:r>
    </w:p>
    <w:p w:rsidR="00EC0E58" w:rsidRPr="00600B0A" w:rsidRDefault="00EC0E58" w:rsidP="00BA753B">
      <w:pPr>
        <w:spacing w:line="276" w:lineRule="auto"/>
        <w:ind w:right="-1"/>
        <w:rPr>
          <w:sz w:val="28"/>
          <w:szCs w:val="28"/>
        </w:rPr>
      </w:pPr>
      <w:r w:rsidRPr="00600B0A">
        <w:rPr>
          <w:sz w:val="28"/>
          <w:szCs w:val="28"/>
        </w:rPr>
        <w:t>- индекс производства готовых металлических изделий, кроме машин и оборудования – 52,3%; объем отгруженной продукции снизился на 17,2% до 1 033,5 млн. руб.;</w:t>
      </w:r>
    </w:p>
    <w:p w:rsidR="00EC0E58" w:rsidRDefault="00EC0E58" w:rsidP="00BA753B">
      <w:pPr>
        <w:spacing w:line="276" w:lineRule="auto"/>
        <w:ind w:right="-1"/>
        <w:rPr>
          <w:sz w:val="28"/>
          <w:szCs w:val="28"/>
        </w:rPr>
      </w:pPr>
      <w:r w:rsidRPr="00600B0A">
        <w:rPr>
          <w:sz w:val="28"/>
          <w:szCs w:val="28"/>
        </w:rPr>
        <w:t>- индекс производства машин и оборудования, не включенных в другие группировки – 44,2%; объем отгруженной продукции вырос на 20,7% до 1 710,</w:t>
      </w:r>
      <w:r>
        <w:rPr>
          <w:sz w:val="28"/>
          <w:szCs w:val="28"/>
        </w:rPr>
        <w:t>1</w:t>
      </w:r>
      <w:r w:rsidRPr="00600B0A">
        <w:rPr>
          <w:sz w:val="28"/>
          <w:szCs w:val="28"/>
        </w:rPr>
        <w:t xml:space="preserve"> млн. руб.</w:t>
      </w:r>
    </w:p>
    <w:p w:rsidR="00555BD7" w:rsidRDefault="00555BD7" w:rsidP="00555BD7">
      <w:pPr>
        <w:spacing w:line="276" w:lineRule="auto"/>
        <w:ind w:right="-1"/>
        <w:rPr>
          <w:sz w:val="28"/>
          <w:szCs w:val="28"/>
        </w:rPr>
      </w:pPr>
      <w:r>
        <w:rPr>
          <w:sz w:val="28"/>
          <w:szCs w:val="28"/>
        </w:rPr>
        <w:t>В тоже время отмечен р</w:t>
      </w:r>
      <w:r w:rsidRPr="005257BB">
        <w:rPr>
          <w:sz w:val="28"/>
          <w:szCs w:val="28"/>
        </w:rPr>
        <w:t xml:space="preserve">ост производства за январь-июнь 2022 года </w:t>
      </w:r>
      <w:r>
        <w:rPr>
          <w:sz w:val="28"/>
          <w:szCs w:val="28"/>
        </w:rPr>
        <w:t>по</w:t>
      </w:r>
      <w:r w:rsidRPr="005257BB">
        <w:rPr>
          <w:sz w:val="28"/>
          <w:szCs w:val="28"/>
        </w:rPr>
        <w:t xml:space="preserve">  следующи</w:t>
      </w:r>
      <w:r>
        <w:rPr>
          <w:sz w:val="28"/>
          <w:szCs w:val="28"/>
        </w:rPr>
        <w:t>м</w:t>
      </w:r>
      <w:r w:rsidRPr="005257BB">
        <w:rPr>
          <w:sz w:val="28"/>
          <w:szCs w:val="28"/>
        </w:rPr>
        <w:t xml:space="preserve"> вида</w:t>
      </w:r>
      <w:r>
        <w:rPr>
          <w:sz w:val="28"/>
          <w:szCs w:val="28"/>
        </w:rPr>
        <w:t>м</w:t>
      </w:r>
      <w:r w:rsidRPr="005257BB">
        <w:rPr>
          <w:sz w:val="28"/>
          <w:szCs w:val="28"/>
        </w:rPr>
        <w:t xml:space="preserve"> </w:t>
      </w:r>
      <w:r>
        <w:rPr>
          <w:sz w:val="28"/>
          <w:szCs w:val="28"/>
        </w:rPr>
        <w:t xml:space="preserve">деятельности </w:t>
      </w:r>
      <w:r w:rsidRPr="005257BB">
        <w:rPr>
          <w:sz w:val="28"/>
          <w:szCs w:val="28"/>
        </w:rPr>
        <w:t>обрабатывающ</w:t>
      </w:r>
      <w:r>
        <w:rPr>
          <w:sz w:val="28"/>
          <w:szCs w:val="28"/>
        </w:rPr>
        <w:t>ей</w:t>
      </w:r>
      <w:r w:rsidRPr="005257BB">
        <w:rPr>
          <w:sz w:val="28"/>
          <w:szCs w:val="28"/>
        </w:rPr>
        <w:t xml:space="preserve"> </w:t>
      </w:r>
      <w:r>
        <w:rPr>
          <w:sz w:val="28"/>
          <w:szCs w:val="28"/>
        </w:rPr>
        <w:t>промышленности</w:t>
      </w:r>
      <w:r w:rsidRPr="005257BB">
        <w:rPr>
          <w:sz w:val="28"/>
          <w:szCs w:val="28"/>
        </w:rPr>
        <w:t xml:space="preserve">: </w:t>
      </w:r>
    </w:p>
    <w:p w:rsidR="00555BD7" w:rsidRPr="00412A2B" w:rsidRDefault="00555BD7" w:rsidP="00555BD7">
      <w:pPr>
        <w:spacing w:line="276" w:lineRule="auto"/>
        <w:ind w:right="-1"/>
        <w:rPr>
          <w:sz w:val="28"/>
          <w:szCs w:val="28"/>
        </w:rPr>
      </w:pPr>
      <w:r w:rsidRPr="00412A2B">
        <w:rPr>
          <w:sz w:val="28"/>
          <w:szCs w:val="28"/>
        </w:rPr>
        <w:t xml:space="preserve">- индекс производства прочей неметаллической минеральной продукции </w:t>
      </w:r>
      <w:r>
        <w:rPr>
          <w:sz w:val="28"/>
          <w:szCs w:val="28"/>
        </w:rPr>
        <w:t xml:space="preserve">- </w:t>
      </w:r>
      <w:r w:rsidRPr="00412A2B">
        <w:rPr>
          <w:sz w:val="28"/>
          <w:szCs w:val="28"/>
        </w:rPr>
        <w:t>107,0%, производство бетона выросло в 1,9 раза; объем отгруженной продукции вырос на 12,8% до 1 043,2 млн. руб.;</w:t>
      </w:r>
    </w:p>
    <w:p w:rsidR="00555BD7" w:rsidRPr="00412A2B" w:rsidRDefault="00555BD7" w:rsidP="00555BD7">
      <w:pPr>
        <w:spacing w:line="276" w:lineRule="auto"/>
        <w:ind w:right="-1"/>
        <w:rPr>
          <w:sz w:val="28"/>
          <w:szCs w:val="28"/>
        </w:rPr>
      </w:pPr>
      <w:r w:rsidRPr="00412A2B">
        <w:rPr>
          <w:sz w:val="28"/>
          <w:szCs w:val="28"/>
        </w:rPr>
        <w:t>- индекс производства электрического оборудования – 126,8%; производство трансформаторов увеличилось на 25,4%; объем отгруженной продукции увеличился на 44,7% до 1 702,5 млн. руб.;</w:t>
      </w:r>
    </w:p>
    <w:p w:rsidR="00555BD7" w:rsidRDefault="00555BD7" w:rsidP="00555BD7">
      <w:pPr>
        <w:spacing w:line="276" w:lineRule="auto"/>
        <w:ind w:right="-1"/>
        <w:rPr>
          <w:sz w:val="28"/>
          <w:szCs w:val="28"/>
        </w:rPr>
      </w:pPr>
      <w:r>
        <w:rPr>
          <w:sz w:val="28"/>
          <w:szCs w:val="28"/>
        </w:rPr>
        <w:t>- индекс производства прочих транспортных средств и оборудования – 112,8%; производство инвалидных колясок увеличилось на 12,8%; объем отгруженной продукции увеличился на 6,3%;</w:t>
      </w:r>
    </w:p>
    <w:p w:rsidR="00555BD7" w:rsidRDefault="00555BD7" w:rsidP="00555BD7">
      <w:pPr>
        <w:spacing w:line="276" w:lineRule="auto"/>
        <w:ind w:right="-1"/>
        <w:rPr>
          <w:sz w:val="28"/>
          <w:szCs w:val="28"/>
        </w:rPr>
      </w:pPr>
      <w:r w:rsidRPr="002971AD">
        <w:rPr>
          <w:sz w:val="28"/>
          <w:szCs w:val="28"/>
        </w:rPr>
        <w:t xml:space="preserve">- индекс производства по виду деятельности ремонт и монтаж машин и оборудования – 111,5%; объем отгруженной продукции увеличился на </w:t>
      </w:r>
      <w:r>
        <w:rPr>
          <w:sz w:val="28"/>
          <w:szCs w:val="28"/>
        </w:rPr>
        <w:t>16,6</w:t>
      </w:r>
      <w:r w:rsidRPr="002971AD">
        <w:rPr>
          <w:sz w:val="28"/>
          <w:szCs w:val="28"/>
        </w:rPr>
        <w:t xml:space="preserve">% до 1 </w:t>
      </w:r>
      <w:r>
        <w:rPr>
          <w:sz w:val="28"/>
          <w:szCs w:val="28"/>
        </w:rPr>
        <w:t>278</w:t>
      </w:r>
      <w:r w:rsidRPr="002971AD">
        <w:rPr>
          <w:sz w:val="28"/>
          <w:szCs w:val="28"/>
        </w:rPr>
        <w:t xml:space="preserve">,4 млн. руб. </w:t>
      </w:r>
    </w:p>
    <w:p w:rsidR="00EC0E58" w:rsidRDefault="00EC0E58" w:rsidP="00BA753B">
      <w:pPr>
        <w:widowControl w:val="0"/>
        <w:suppressAutoHyphens w:val="0"/>
        <w:spacing w:line="276" w:lineRule="auto"/>
        <w:rPr>
          <w:rFonts w:eastAsia="Calibri"/>
          <w:sz w:val="28"/>
          <w:szCs w:val="28"/>
        </w:rPr>
      </w:pPr>
      <w:r w:rsidRPr="00600B0A">
        <w:rPr>
          <w:rFonts w:eastAsia="Calibri"/>
          <w:sz w:val="28"/>
          <w:szCs w:val="28"/>
        </w:rPr>
        <w:t xml:space="preserve">По виду деятельности «Обеспечение электрической энергией, газом и паром, кондиционировании воздуха» (раздел D) в </w:t>
      </w:r>
      <w:r w:rsidR="00D10EC9">
        <w:rPr>
          <w:rFonts w:eastAsia="Calibri"/>
          <w:color w:val="000000" w:themeColor="text1"/>
          <w:sz w:val="28"/>
          <w:szCs w:val="28"/>
          <w:lang w:val="en-US" w:eastAsia="en-US"/>
        </w:rPr>
        <w:t>I</w:t>
      </w:r>
      <w:r w:rsidR="00D10EC9" w:rsidRPr="0024684D">
        <w:rPr>
          <w:rFonts w:eastAsia="Calibri"/>
          <w:color w:val="000000" w:themeColor="text1"/>
          <w:sz w:val="28"/>
          <w:szCs w:val="28"/>
          <w:lang w:eastAsia="en-US"/>
        </w:rPr>
        <w:t xml:space="preserve"> </w:t>
      </w:r>
      <w:r w:rsidRPr="00600B0A">
        <w:rPr>
          <w:rFonts w:eastAsia="Calibri"/>
          <w:sz w:val="28"/>
          <w:szCs w:val="28"/>
        </w:rPr>
        <w:t>полугодии 2022 года индекс производства составил 95,</w:t>
      </w:r>
      <w:r w:rsidR="005363BF">
        <w:rPr>
          <w:rFonts w:eastAsia="Calibri"/>
          <w:sz w:val="28"/>
          <w:szCs w:val="28"/>
        </w:rPr>
        <w:t>9</w:t>
      </w:r>
      <w:r w:rsidRPr="00600B0A">
        <w:rPr>
          <w:rFonts w:eastAsia="Calibri"/>
          <w:sz w:val="28"/>
          <w:szCs w:val="28"/>
        </w:rPr>
        <w:t>%; сократилось производство электроэнергии на 1,9</w:t>
      </w:r>
      <w:r w:rsidRPr="00AC46DB">
        <w:rPr>
          <w:rFonts w:eastAsia="Calibri"/>
          <w:sz w:val="28"/>
          <w:szCs w:val="28"/>
        </w:rPr>
        <w:t>%, пара</w:t>
      </w:r>
      <w:r w:rsidRPr="00600B0A">
        <w:rPr>
          <w:rFonts w:eastAsia="Calibri"/>
          <w:sz w:val="28"/>
          <w:szCs w:val="28"/>
        </w:rPr>
        <w:t xml:space="preserve"> и горячей воды - на 5,1% - до 7 311,5 тыс. </w:t>
      </w:r>
      <w:r>
        <w:rPr>
          <w:rFonts w:eastAsia="Calibri"/>
          <w:sz w:val="28"/>
          <w:szCs w:val="28"/>
        </w:rPr>
        <w:t>Гкал</w:t>
      </w:r>
      <w:r w:rsidRPr="00011970">
        <w:rPr>
          <w:rFonts w:eastAsia="Calibri"/>
          <w:sz w:val="28"/>
          <w:szCs w:val="28"/>
        </w:rPr>
        <w:t xml:space="preserve">.  Объем отгруженной промышленной продукции снизился на 0,6% до 13 087,4 млн. руб. </w:t>
      </w:r>
      <w:r w:rsidRPr="00BC36B0">
        <w:rPr>
          <w:rFonts w:eastAsia="Calibri"/>
          <w:sz w:val="28"/>
          <w:szCs w:val="28"/>
        </w:rPr>
        <w:t>До конца года сложившаяся тенденция по данному виду деятельности сохранится – индекс производства ожидается на уровне  95,5%. Объем отгруженной продукции уменьшится до 23 9</w:t>
      </w:r>
      <w:r w:rsidR="00BC36B0" w:rsidRPr="00BC36B0">
        <w:rPr>
          <w:rFonts w:eastAsia="Calibri"/>
          <w:sz w:val="28"/>
          <w:szCs w:val="28"/>
        </w:rPr>
        <w:t>18</w:t>
      </w:r>
      <w:r w:rsidRPr="00BC36B0">
        <w:rPr>
          <w:rFonts w:eastAsia="Calibri"/>
          <w:sz w:val="28"/>
          <w:szCs w:val="28"/>
        </w:rPr>
        <w:t>,</w:t>
      </w:r>
      <w:r w:rsidR="00BC36B0" w:rsidRPr="00BC36B0">
        <w:rPr>
          <w:rFonts w:eastAsia="Calibri"/>
          <w:sz w:val="28"/>
          <w:szCs w:val="28"/>
        </w:rPr>
        <w:t>7</w:t>
      </w:r>
      <w:r w:rsidRPr="00BC36B0">
        <w:rPr>
          <w:rFonts w:eastAsia="Calibri"/>
          <w:sz w:val="28"/>
          <w:szCs w:val="28"/>
        </w:rPr>
        <w:t xml:space="preserve"> млн. руб.</w:t>
      </w:r>
      <w:r w:rsidRPr="00831D67">
        <w:rPr>
          <w:rFonts w:eastAsia="Calibri"/>
          <w:sz w:val="28"/>
          <w:szCs w:val="28"/>
        </w:rPr>
        <w:t xml:space="preserve"> </w:t>
      </w:r>
    </w:p>
    <w:p w:rsidR="00EC0E58" w:rsidRDefault="00EC0E58" w:rsidP="00BA753B">
      <w:pPr>
        <w:widowControl w:val="0"/>
        <w:suppressAutoHyphens w:val="0"/>
        <w:spacing w:line="276" w:lineRule="auto"/>
        <w:ind w:right="2"/>
        <w:rPr>
          <w:rFonts w:eastAsia="Calibri"/>
          <w:sz w:val="28"/>
          <w:szCs w:val="28"/>
        </w:rPr>
      </w:pPr>
      <w:r w:rsidRPr="00011970">
        <w:rPr>
          <w:rFonts w:eastAsia="Calibri"/>
          <w:sz w:val="28"/>
          <w:szCs w:val="28"/>
        </w:rPr>
        <w:t xml:space="preserve">В </w:t>
      </w:r>
      <w:r w:rsidR="00D10EC9">
        <w:rPr>
          <w:rFonts w:eastAsia="Calibri"/>
          <w:color w:val="000000" w:themeColor="text1"/>
          <w:sz w:val="28"/>
          <w:szCs w:val="28"/>
          <w:lang w:val="en-US" w:eastAsia="en-US"/>
        </w:rPr>
        <w:t>I</w:t>
      </w:r>
      <w:r w:rsidR="00D10EC9" w:rsidRPr="0024684D">
        <w:rPr>
          <w:rFonts w:eastAsia="Calibri"/>
          <w:color w:val="000000" w:themeColor="text1"/>
          <w:sz w:val="28"/>
          <w:szCs w:val="28"/>
          <w:lang w:eastAsia="en-US"/>
        </w:rPr>
        <w:t xml:space="preserve"> </w:t>
      </w:r>
      <w:r w:rsidRPr="00011970">
        <w:rPr>
          <w:rFonts w:eastAsia="Calibri"/>
          <w:sz w:val="28"/>
          <w:szCs w:val="28"/>
        </w:rPr>
        <w:t>полугодии 2022 года по виду деятельности «Водоснабжение, водоотведение, организация сбора и утилизации отходов, деятельность по ликвидации загрязнений» (раздел Е)  индекс производства составил 81,9</w:t>
      </w:r>
      <w:r w:rsidRPr="00DE68B1">
        <w:rPr>
          <w:rFonts w:eastAsia="Calibri"/>
          <w:sz w:val="28"/>
          <w:szCs w:val="28"/>
        </w:rPr>
        <w:t xml:space="preserve">% за счет снижения забора, очистки и распределения воды на 4,8% и сбора, обработки и утилизации отходов; обработки вторичного сырья на 25,7%, при этом производство по виду деятельности сбор и обработка сточных вод увеличилось на 10,9%. Объем отгрузки по разделу Е сократился до 7 006,9 млн. руб., что на 15,9% больше </w:t>
      </w:r>
      <w:r>
        <w:rPr>
          <w:rFonts w:eastAsia="Calibri"/>
          <w:sz w:val="28"/>
          <w:szCs w:val="28"/>
        </w:rPr>
        <w:t xml:space="preserve">аналогичного срока </w:t>
      </w:r>
      <w:r w:rsidRPr="00DE68B1">
        <w:rPr>
          <w:rFonts w:eastAsia="Calibri"/>
          <w:sz w:val="28"/>
          <w:szCs w:val="28"/>
        </w:rPr>
        <w:t>202</w:t>
      </w:r>
      <w:r>
        <w:rPr>
          <w:rFonts w:eastAsia="Calibri"/>
          <w:sz w:val="28"/>
          <w:szCs w:val="28"/>
        </w:rPr>
        <w:t>1</w:t>
      </w:r>
      <w:r w:rsidRPr="00DE68B1">
        <w:rPr>
          <w:rFonts w:eastAsia="Calibri"/>
          <w:sz w:val="28"/>
          <w:szCs w:val="28"/>
        </w:rPr>
        <w:t xml:space="preserve"> года</w:t>
      </w:r>
      <w:r w:rsidRPr="00BC36B0">
        <w:rPr>
          <w:rFonts w:eastAsia="Calibri"/>
          <w:sz w:val="28"/>
          <w:szCs w:val="28"/>
        </w:rPr>
        <w:t xml:space="preserve">. К концу года индекс производства ожидается на уровне </w:t>
      </w:r>
      <w:r w:rsidR="00BC36B0" w:rsidRPr="00BC36B0">
        <w:rPr>
          <w:rFonts w:eastAsia="Calibri"/>
          <w:sz w:val="28"/>
          <w:szCs w:val="28"/>
        </w:rPr>
        <w:t>78</w:t>
      </w:r>
      <w:r w:rsidRPr="00BC36B0">
        <w:rPr>
          <w:rFonts w:eastAsia="Calibri"/>
          <w:sz w:val="28"/>
          <w:szCs w:val="28"/>
        </w:rPr>
        <w:t>,6%. Объем отгруженной продукции составит 14</w:t>
      </w:r>
      <w:r w:rsidR="00BC36B0" w:rsidRPr="00BC36B0">
        <w:rPr>
          <w:rFonts w:eastAsia="Calibri"/>
          <w:sz w:val="28"/>
          <w:szCs w:val="28"/>
        </w:rPr>
        <w:t> 069,6</w:t>
      </w:r>
      <w:r w:rsidRPr="00BC36B0">
        <w:rPr>
          <w:rFonts w:eastAsia="Calibri"/>
          <w:sz w:val="28"/>
          <w:szCs w:val="28"/>
        </w:rPr>
        <w:t xml:space="preserve"> млн. руб.</w:t>
      </w:r>
    </w:p>
    <w:p w:rsidR="00EC0E58" w:rsidRPr="00FB5212" w:rsidRDefault="00EC0E58" w:rsidP="00BA753B">
      <w:pPr>
        <w:pStyle w:val="afb"/>
        <w:widowControl w:val="0"/>
        <w:numPr>
          <w:ilvl w:val="0"/>
          <w:numId w:val="5"/>
        </w:numPr>
        <w:spacing w:line="276" w:lineRule="auto"/>
        <w:ind w:left="0" w:firstLine="709"/>
        <w:rPr>
          <w:rFonts w:eastAsia="Calibri"/>
          <w:sz w:val="28"/>
          <w:szCs w:val="28"/>
        </w:rPr>
      </w:pPr>
      <w:r w:rsidRPr="00FB5212">
        <w:rPr>
          <w:rFonts w:eastAsia="Calibri"/>
          <w:sz w:val="28"/>
          <w:szCs w:val="28"/>
        </w:rPr>
        <w:t xml:space="preserve">На рост и диверсификацию промышленного производства города оказывает влияние Особая экономическая зона промышленно-производственного типа «Тольятти» (ОЭЗ ППТ «Тольятти»), которая вошла в границы городского округа Тольятти в июне 2020 года. </w:t>
      </w:r>
      <w:r w:rsidR="00A31752">
        <w:rPr>
          <w:rFonts w:eastAsia="Calibri"/>
          <w:sz w:val="28"/>
          <w:szCs w:val="28"/>
        </w:rPr>
        <w:t>В</w:t>
      </w:r>
      <w:r w:rsidRPr="00FB5212">
        <w:rPr>
          <w:rFonts w:eastAsia="Calibri"/>
          <w:sz w:val="28"/>
          <w:szCs w:val="28"/>
        </w:rPr>
        <w:t xml:space="preserve"> 2022 год</w:t>
      </w:r>
      <w:r w:rsidR="00A31752">
        <w:rPr>
          <w:rFonts w:eastAsia="Calibri"/>
          <w:sz w:val="28"/>
          <w:szCs w:val="28"/>
        </w:rPr>
        <w:t>у</w:t>
      </w:r>
      <w:r w:rsidRPr="00FB5212">
        <w:rPr>
          <w:rFonts w:eastAsia="Calibri"/>
          <w:sz w:val="28"/>
          <w:szCs w:val="28"/>
        </w:rPr>
        <w:t xml:space="preserve"> 31 </w:t>
      </w:r>
      <w:r w:rsidR="00A31752">
        <w:rPr>
          <w:rFonts w:eastAsia="Calibri"/>
          <w:sz w:val="28"/>
          <w:szCs w:val="28"/>
        </w:rPr>
        <w:t xml:space="preserve">предприятие, </w:t>
      </w:r>
      <w:r w:rsidR="00A31752" w:rsidRPr="00FB5212">
        <w:rPr>
          <w:rFonts w:eastAsia="Calibri"/>
          <w:sz w:val="28"/>
          <w:szCs w:val="28"/>
        </w:rPr>
        <w:t>реализующ</w:t>
      </w:r>
      <w:r w:rsidR="00A31752">
        <w:rPr>
          <w:rFonts w:eastAsia="Calibri"/>
          <w:sz w:val="28"/>
          <w:szCs w:val="28"/>
        </w:rPr>
        <w:t>е</w:t>
      </w:r>
      <w:r w:rsidR="00A31752" w:rsidRPr="00FB5212">
        <w:rPr>
          <w:rFonts w:eastAsia="Calibri"/>
          <w:sz w:val="28"/>
          <w:szCs w:val="28"/>
        </w:rPr>
        <w:t>е проекты практически во всех видах промышленной деятельности</w:t>
      </w:r>
      <w:r w:rsidR="00A31752">
        <w:rPr>
          <w:rFonts w:eastAsia="Calibri"/>
          <w:sz w:val="28"/>
          <w:szCs w:val="28"/>
        </w:rPr>
        <w:t xml:space="preserve">, является </w:t>
      </w:r>
      <w:r w:rsidR="00A31752" w:rsidRPr="00FB5212">
        <w:rPr>
          <w:rFonts w:eastAsia="Calibri"/>
          <w:sz w:val="28"/>
          <w:szCs w:val="28"/>
        </w:rPr>
        <w:t>резидент</w:t>
      </w:r>
      <w:r w:rsidR="00A31752">
        <w:rPr>
          <w:rFonts w:eastAsia="Calibri"/>
          <w:sz w:val="28"/>
          <w:szCs w:val="28"/>
        </w:rPr>
        <w:t>ом</w:t>
      </w:r>
      <w:r w:rsidR="00A31752" w:rsidRPr="00FB5212">
        <w:rPr>
          <w:rFonts w:eastAsia="Calibri"/>
          <w:sz w:val="28"/>
          <w:szCs w:val="28"/>
        </w:rPr>
        <w:t xml:space="preserve"> ОЭЗ ППТ «Тольятти»</w:t>
      </w:r>
      <w:r w:rsidRPr="00FB5212">
        <w:rPr>
          <w:rFonts w:eastAsia="Calibri"/>
          <w:sz w:val="28"/>
          <w:szCs w:val="28"/>
        </w:rPr>
        <w:t xml:space="preserve">. В </w:t>
      </w:r>
      <w:r w:rsidR="00D10EC9">
        <w:rPr>
          <w:rFonts w:eastAsia="Calibri"/>
          <w:color w:val="000000" w:themeColor="text1"/>
          <w:sz w:val="28"/>
          <w:szCs w:val="28"/>
          <w:lang w:val="en-US" w:eastAsia="en-US"/>
        </w:rPr>
        <w:t>I</w:t>
      </w:r>
      <w:r w:rsidR="00D10EC9" w:rsidRPr="0024684D">
        <w:rPr>
          <w:rFonts w:eastAsia="Calibri"/>
          <w:color w:val="000000" w:themeColor="text1"/>
          <w:sz w:val="28"/>
          <w:szCs w:val="28"/>
          <w:lang w:eastAsia="en-US"/>
        </w:rPr>
        <w:t xml:space="preserve"> </w:t>
      </w:r>
      <w:r w:rsidRPr="00FB5212">
        <w:rPr>
          <w:rFonts w:eastAsia="Calibri"/>
          <w:sz w:val="28"/>
          <w:szCs w:val="28"/>
        </w:rPr>
        <w:t>полугодии 2022 года всеми резидентами ОЭЗ ППТ «Тольятти» отгружено промышленной продукции на сумму 5 287,7 млн. руб., что на 12,5% больше соответствующего периода прошлого года, за 2022 год планируется отгрузить 6 618 млн. руб. (по данным управляющей компании ОЭЗ ППТ «Тольятти»).</w:t>
      </w:r>
    </w:p>
    <w:p w:rsidR="00EC0E58" w:rsidRPr="009A39A7" w:rsidRDefault="00EC0E58" w:rsidP="00BA753B">
      <w:pPr>
        <w:spacing w:line="276" w:lineRule="auto"/>
        <w:rPr>
          <w:rFonts w:eastAsia="Calibri"/>
          <w:sz w:val="28"/>
          <w:szCs w:val="28"/>
        </w:rPr>
      </w:pPr>
      <w:r w:rsidRPr="009A39A7">
        <w:rPr>
          <w:rFonts w:eastAsia="Calibri"/>
          <w:sz w:val="28"/>
          <w:szCs w:val="28"/>
        </w:rPr>
        <w:t>В целом индекс промышленного производства в 2022 году п</w:t>
      </w:r>
      <w:r w:rsidR="009A39A7" w:rsidRPr="009A39A7">
        <w:rPr>
          <w:rFonts w:eastAsia="Calibri"/>
          <w:sz w:val="28"/>
          <w:szCs w:val="28"/>
        </w:rPr>
        <w:t xml:space="preserve">о городу по оценке составит </w:t>
      </w:r>
      <w:r w:rsidR="00915B51">
        <w:rPr>
          <w:rFonts w:eastAsia="Calibri"/>
          <w:sz w:val="28"/>
          <w:szCs w:val="28"/>
        </w:rPr>
        <w:t>74,2</w:t>
      </w:r>
      <w:r w:rsidRPr="009A39A7">
        <w:rPr>
          <w:rFonts w:eastAsia="Calibri"/>
          <w:sz w:val="28"/>
          <w:szCs w:val="28"/>
        </w:rPr>
        <w:t>%, объем отгруженной промышл</w:t>
      </w:r>
      <w:r w:rsidR="009A39A7" w:rsidRPr="009A39A7">
        <w:rPr>
          <w:rFonts w:eastAsia="Calibri"/>
          <w:sz w:val="28"/>
          <w:szCs w:val="28"/>
        </w:rPr>
        <w:t>енной продукции уменьшится на 1</w:t>
      </w:r>
      <w:r w:rsidR="00915B51">
        <w:rPr>
          <w:rFonts w:eastAsia="Calibri"/>
          <w:sz w:val="28"/>
          <w:szCs w:val="28"/>
        </w:rPr>
        <w:t>4</w:t>
      </w:r>
      <w:r w:rsidRPr="009A39A7">
        <w:rPr>
          <w:rFonts w:eastAsia="Calibri"/>
          <w:sz w:val="28"/>
          <w:szCs w:val="28"/>
        </w:rPr>
        <w:t>,</w:t>
      </w:r>
      <w:r w:rsidR="00915B51">
        <w:rPr>
          <w:rFonts w:eastAsia="Calibri"/>
          <w:sz w:val="28"/>
          <w:szCs w:val="28"/>
        </w:rPr>
        <w:t>5</w:t>
      </w:r>
      <w:r w:rsidRPr="009A39A7">
        <w:rPr>
          <w:rFonts w:eastAsia="Calibri"/>
          <w:sz w:val="28"/>
          <w:szCs w:val="28"/>
        </w:rPr>
        <w:t xml:space="preserve">% к 2021 году и составит </w:t>
      </w:r>
      <w:r w:rsidR="009A39A7" w:rsidRPr="009A39A7">
        <w:rPr>
          <w:rFonts w:eastAsia="Calibri"/>
          <w:sz w:val="28"/>
          <w:szCs w:val="28"/>
        </w:rPr>
        <w:t>5</w:t>
      </w:r>
      <w:r w:rsidR="00915B51">
        <w:rPr>
          <w:rFonts w:eastAsia="Calibri"/>
          <w:sz w:val="28"/>
          <w:szCs w:val="28"/>
        </w:rPr>
        <w:t>75</w:t>
      </w:r>
      <w:r w:rsidR="009A39A7" w:rsidRPr="009A39A7">
        <w:rPr>
          <w:rFonts w:eastAsia="Calibri"/>
          <w:sz w:val="28"/>
          <w:szCs w:val="28"/>
        </w:rPr>
        <w:t> </w:t>
      </w:r>
      <w:r w:rsidR="00915B51">
        <w:rPr>
          <w:rFonts w:eastAsia="Calibri"/>
          <w:sz w:val="28"/>
          <w:szCs w:val="28"/>
        </w:rPr>
        <w:t>081</w:t>
      </w:r>
      <w:r w:rsidR="009A39A7" w:rsidRPr="009A39A7">
        <w:rPr>
          <w:rFonts w:eastAsia="Calibri"/>
          <w:sz w:val="28"/>
          <w:szCs w:val="28"/>
        </w:rPr>
        <w:t>,</w:t>
      </w:r>
      <w:r w:rsidR="00915B51">
        <w:rPr>
          <w:rFonts w:eastAsia="Calibri"/>
          <w:sz w:val="28"/>
          <w:szCs w:val="28"/>
        </w:rPr>
        <w:t>8</w:t>
      </w:r>
      <w:r w:rsidRPr="009A39A7">
        <w:rPr>
          <w:rFonts w:eastAsia="Calibri"/>
          <w:sz w:val="28"/>
          <w:szCs w:val="28"/>
        </w:rPr>
        <w:t xml:space="preserve"> млн. руб.</w:t>
      </w:r>
    </w:p>
    <w:p w:rsidR="00B61BB0" w:rsidRDefault="00B61BB0" w:rsidP="00EC0E58">
      <w:pPr>
        <w:ind w:firstLine="0"/>
        <w:jc w:val="center"/>
        <w:rPr>
          <w:sz w:val="28"/>
          <w:szCs w:val="28"/>
        </w:rPr>
      </w:pPr>
    </w:p>
    <w:p w:rsidR="00EC0E58" w:rsidRPr="00FB5212" w:rsidRDefault="00EC0E58" w:rsidP="00EC0E58">
      <w:pPr>
        <w:ind w:firstLine="0"/>
        <w:jc w:val="center"/>
        <w:rPr>
          <w:sz w:val="28"/>
          <w:szCs w:val="28"/>
        </w:rPr>
      </w:pPr>
      <w:r w:rsidRPr="009A39A7">
        <w:rPr>
          <w:sz w:val="28"/>
          <w:szCs w:val="28"/>
        </w:rPr>
        <w:t>Ожидаемое выполнение прогнозных показателей по разделу</w:t>
      </w:r>
      <w:r w:rsidRPr="00FB5212">
        <w:rPr>
          <w:sz w:val="28"/>
          <w:szCs w:val="28"/>
        </w:rPr>
        <w:t xml:space="preserve"> </w:t>
      </w:r>
    </w:p>
    <w:p w:rsidR="00EC0E58" w:rsidRDefault="00EC0E58" w:rsidP="00EC0E58">
      <w:pPr>
        <w:ind w:firstLine="0"/>
        <w:jc w:val="center"/>
        <w:rPr>
          <w:sz w:val="28"/>
          <w:szCs w:val="28"/>
        </w:rPr>
      </w:pPr>
      <w:r w:rsidRPr="00FB5212">
        <w:rPr>
          <w:sz w:val="28"/>
          <w:szCs w:val="28"/>
        </w:rPr>
        <w:t>«Промышленное производство» на 2022 год</w:t>
      </w:r>
    </w:p>
    <w:p w:rsidR="00BA753B" w:rsidRPr="00FB5212" w:rsidRDefault="00BA753B" w:rsidP="00EC0E58">
      <w:pPr>
        <w:ind w:firstLine="0"/>
        <w:jc w:val="center"/>
        <w:rPr>
          <w:sz w:val="28"/>
          <w:szCs w:val="28"/>
        </w:rPr>
      </w:pPr>
    </w:p>
    <w:tbl>
      <w:tblPr>
        <w:tblW w:w="9499" w:type="dxa"/>
        <w:tblInd w:w="-35" w:type="dxa"/>
        <w:tblLayout w:type="fixed"/>
        <w:tblLook w:val="0000" w:firstRow="0" w:lastRow="0" w:firstColumn="0" w:lastColumn="0" w:noHBand="0" w:noVBand="0"/>
      </w:tblPr>
      <w:tblGrid>
        <w:gridCol w:w="3687"/>
        <w:gridCol w:w="1276"/>
        <w:gridCol w:w="1559"/>
        <w:gridCol w:w="1559"/>
        <w:gridCol w:w="1418"/>
      </w:tblGrid>
      <w:tr w:rsidR="00EC0E58" w:rsidRPr="006561AD" w:rsidTr="00BC36B0">
        <w:trPr>
          <w:tblHeader/>
        </w:trPr>
        <w:tc>
          <w:tcPr>
            <w:tcW w:w="3687" w:type="dxa"/>
            <w:vMerge w:val="restart"/>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sz w:val="28"/>
                <w:szCs w:val="28"/>
              </w:rPr>
            </w:pPr>
          </w:p>
          <w:p w:rsidR="00EC0E58" w:rsidRPr="00EE03FC" w:rsidRDefault="00EC0E58" w:rsidP="00BC36B0">
            <w:pPr>
              <w:ind w:firstLine="0"/>
              <w:jc w:val="center"/>
              <w:rPr>
                <w:sz w:val="28"/>
                <w:szCs w:val="28"/>
              </w:rPr>
            </w:pPr>
            <w:r w:rsidRPr="00EE03FC">
              <w:rPr>
                <w:sz w:val="28"/>
                <w:szCs w:val="28"/>
              </w:rPr>
              <w:t>Наименование показателя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sz w:val="28"/>
                <w:szCs w:val="28"/>
              </w:rPr>
            </w:pPr>
            <w:r w:rsidRPr="00EE03FC">
              <w:rPr>
                <w:sz w:val="28"/>
                <w:szCs w:val="28"/>
              </w:rPr>
              <w:t>Единица измере</w:t>
            </w:r>
          </w:p>
          <w:p w:rsidR="00EC0E58" w:rsidRPr="00EE03FC" w:rsidRDefault="00EC0E58" w:rsidP="00BC36B0">
            <w:pPr>
              <w:ind w:firstLine="0"/>
              <w:jc w:val="center"/>
              <w:rPr>
                <w:sz w:val="28"/>
                <w:szCs w:val="28"/>
              </w:rPr>
            </w:pPr>
            <w:r w:rsidRPr="00EE03FC">
              <w:rPr>
                <w:sz w:val="28"/>
                <w:szCs w:val="28"/>
              </w:rPr>
              <w:t>ния</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sz w:val="28"/>
                <w:szCs w:val="28"/>
              </w:rPr>
            </w:pPr>
            <w:r w:rsidRPr="00EE03FC">
              <w:rPr>
                <w:sz w:val="28"/>
                <w:szCs w:val="28"/>
              </w:rPr>
              <w:t>Прогноз на 2022 год</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C0E58" w:rsidRPr="00EE03FC" w:rsidRDefault="00EC0E58" w:rsidP="00BC36B0">
            <w:pPr>
              <w:ind w:firstLine="0"/>
              <w:jc w:val="center"/>
              <w:rPr>
                <w:sz w:val="28"/>
                <w:szCs w:val="28"/>
              </w:rPr>
            </w:pPr>
            <w:r w:rsidRPr="00EE03FC">
              <w:rPr>
                <w:sz w:val="28"/>
                <w:szCs w:val="28"/>
              </w:rPr>
              <w:t>2022 год (оценка)</w:t>
            </w:r>
          </w:p>
        </w:tc>
      </w:tr>
      <w:tr w:rsidR="00EC0E58" w:rsidRPr="006561AD" w:rsidTr="00BC36B0">
        <w:trPr>
          <w:tblHeader/>
        </w:trPr>
        <w:tc>
          <w:tcPr>
            <w:tcW w:w="3687" w:type="dxa"/>
            <w:vMerge/>
            <w:tcBorders>
              <w:top w:val="single" w:sz="4" w:space="0" w:color="000000"/>
              <w:left w:val="single" w:sz="4" w:space="0" w:color="000000"/>
              <w:bottom w:val="single" w:sz="4" w:space="0" w:color="000000"/>
            </w:tcBorders>
            <w:shd w:val="clear" w:color="auto" w:fill="auto"/>
          </w:tcPr>
          <w:p w:rsidR="00EC0E58" w:rsidRPr="006561AD" w:rsidRDefault="00EC0E58" w:rsidP="00BC36B0">
            <w:pPr>
              <w:snapToGrid w:val="0"/>
              <w:ind w:firstLine="0"/>
              <w:jc w:val="center"/>
              <w:rPr>
                <w:sz w:val="28"/>
                <w:szCs w:val="28"/>
                <w:highlight w:val="cyan"/>
              </w:rPr>
            </w:pPr>
          </w:p>
        </w:tc>
        <w:tc>
          <w:tcPr>
            <w:tcW w:w="1276" w:type="dxa"/>
            <w:vMerge/>
            <w:tcBorders>
              <w:top w:val="single" w:sz="4" w:space="0" w:color="000000"/>
              <w:left w:val="single" w:sz="4" w:space="0" w:color="000000"/>
              <w:bottom w:val="single" w:sz="4" w:space="0" w:color="000000"/>
            </w:tcBorders>
            <w:shd w:val="clear" w:color="auto" w:fill="auto"/>
          </w:tcPr>
          <w:p w:rsidR="00EC0E58" w:rsidRPr="006561AD" w:rsidRDefault="00EC0E58" w:rsidP="00BC36B0">
            <w:pPr>
              <w:snapToGrid w:val="0"/>
              <w:ind w:firstLine="0"/>
              <w:jc w:val="center"/>
              <w:rPr>
                <w:sz w:val="28"/>
                <w:szCs w:val="28"/>
                <w:highlight w:val="cyan"/>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sz w:val="28"/>
                <w:szCs w:val="28"/>
              </w:rPr>
            </w:pPr>
            <w:r w:rsidRPr="00EE03FC">
              <w:rPr>
                <w:sz w:val="28"/>
                <w:szCs w:val="28"/>
              </w:rPr>
              <w:t>1 вариант (консерва тивный)</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sz w:val="28"/>
                <w:szCs w:val="28"/>
              </w:rPr>
            </w:pPr>
            <w:r w:rsidRPr="00EE03FC">
              <w:rPr>
                <w:sz w:val="28"/>
                <w:szCs w:val="28"/>
              </w:rPr>
              <w:t>2 вариант</w:t>
            </w:r>
          </w:p>
          <w:p w:rsidR="00EC0E58" w:rsidRPr="00EE03FC" w:rsidRDefault="00EC0E58" w:rsidP="00BC36B0">
            <w:pPr>
              <w:ind w:firstLine="0"/>
              <w:jc w:val="center"/>
              <w:rPr>
                <w:sz w:val="28"/>
                <w:szCs w:val="28"/>
              </w:rPr>
            </w:pPr>
            <w:r w:rsidRPr="00EE03FC">
              <w:rPr>
                <w:sz w:val="28"/>
                <w:szCs w:val="28"/>
              </w:rPr>
              <w:t>(базовый)</w:t>
            </w:r>
          </w:p>
        </w:tc>
        <w:tc>
          <w:tcPr>
            <w:tcW w:w="1418" w:type="dxa"/>
            <w:vMerge/>
            <w:tcBorders>
              <w:top w:val="single" w:sz="4" w:space="0" w:color="000000"/>
              <w:left w:val="single" w:sz="4" w:space="0" w:color="000000"/>
              <w:bottom w:val="single" w:sz="4" w:space="0" w:color="000000"/>
              <w:right w:val="single" w:sz="4" w:space="0" w:color="000000"/>
            </w:tcBorders>
          </w:tcPr>
          <w:p w:rsidR="00EC0E58" w:rsidRPr="006561AD" w:rsidRDefault="00EC0E58" w:rsidP="00BC36B0">
            <w:pPr>
              <w:snapToGrid w:val="0"/>
              <w:ind w:firstLine="0"/>
              <w:jc w:val="center"/>
              <w:rPr>
                <w:sz w:val="28"/>
                <w:szCs w:val="28"/>
                <w:highlight w:val="cyan"/>
              </w:rPr>
            </w:pP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EE03FC" w:rsidRDefault="00EC0E58" w:rsidP="00BC36B0">
            <w:pPr>
              <w:ind w:firstLine="0"/>
              <w:rPr>
                <w:bCs/>
                <w:sz w:val="28"/>
                <w:szCs w:val="28"/>
              </w:rPr>
            </w:pPr>
            <w:r w:rsidRPr="00EE03FC">
              <w:rPr>
                <w:bCs/>
                <w:sz w:val="28"/>
                <w:szCs w:val="28"/>
              </w:rPr>
              <w:t xml:space="preserve">Объем отгруженных товаров собственного производства, выполненных работ и услуг собственными силами                 (по разделам С, </w:t>
            </w:r>
            <w:r w:rsidRPr="00EE03FC">
              <w:rPr>
                <w:bCs/>
                <w:sz w:val="28"/>
                <w:szCs w:val="28"/>
                <w:lang w:val="en-US"/>
              </w:rPr>
              <w:t>D</w:t>
            </w:r>
            <w:r w:rsidRPr="00EE03FC">
              <w:rPr>
                <w:bCs/>
                <w:sz w:val="28"/>
                <w:szCs w:val="28"/>
              </w:rPr>
              <w:t xml:space="preserve">, </w:t>
            </w:r>
            <w:r w:rsidRPr="00EE03FC">
              <w:rPr>
                <w:bCs/>
                <w:sz w:val="28"/>
                <w:szCs w:val="28"/>
                <w:lang w:val="en-US"/>
              </w:rPr>
              <w:t>E</w:t>
            </w:r>
            <w:r w:rsidRPr="00EE03FC">
              <w:rPr>
                <w:bCs/>
                <w:sz w:val="28"/>
                <w:szCs w:val="2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r w:rsidRPr="00EE03FC">
              <w:rPr>
                <w:bCs/>
                <w:sz w:val="28"/>
                <w:szCs w:val="28"/>
              </w:rPr>
              <w:t>млн. руб</w:t>
            </w:r>
            <w:r w:rsidR="00555BD7">
              <w:rPr>
                <w:bCs/>
                <w:sz w:val="28"/>
                <w:szCs w:val="28"/>
              </w:rPr>
              <w:t>лей</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r w:rsidRPr="00EE03FC">
              <w:rPr>
                <w:bCs/>
                <w:sz w:val="28"/>
                <w:szCs w:val="28"/>
              </w:rPr>
              <w:t>648 258,7</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r w:rsidRPr="00EE03FC">
              <w:rPr>
                <w:bCs/>
                <w:sz w:val="28"/>
                <w:szCs w:val="28"/>
              </w:rPr>
              <w:t>658 089,7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58" w:rsidRPr="006561AD" w:rsidRDefault="009A39A7" w:rsidP="00915B51">
            <w:pPr>
              <w:ind w:firstLine="0"/>
              <w:jc w:val="center"/>
              <w:rPr>
                <w:bCs/>
                <w:sz w:val="28"/>
                <w:szCs w:val="28"/>
                <w:highlight w:val="cyan"/>
              </w:rPr>
            </w:pPr>
            <w:r w:rsidRPr="009A39A7">
              <w:rPr>
                <w:bCs/>
                <w:sz w:val="28"/>
                <w:szCs w:val="28"/>
              </w:rPr>
              <w:t>5</w:t>
            </w:r>
            <w:r w:rsidR="00915B51">
              <w:rPr>
                <w:bCs/>
                <w:sz w:val="28"/>
                <w:szCs w:val="28"/>
              </w:rPr>
              <w:t>75 081,8</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EE03FC" w:rsidRDefault="00EC0E58" w:rsidP="00BC36B0">
            <w:pPr>
              <w:ind w:firstLine="0"/>
              <w:rPr>
                <w:bCs/>
                <w:sz w:val="28"/>
                <w:szCs w:val="28"/>
              </w:rPr>
            </w:pPr>
            <w:r w:rsidRPr="00EE03FC">
              <w:rPr>
                <w:bCs/>
                <w:sz w:val="28"/>
                <w:szCs w:val="28"/>
              </w:rPr>
              <w:t>в том числе по видам деятельности:</w:t>
            </w:r>
          </w:p>
        </w:tc>
        <w:tc>
          <w:tcPr>
            <w:tcW w:w="1276" w:type="dxa"/>
            <w:tcBorders>
              <w:top w:val="single" w:sz="4" w:space="0" w:color="000000"/>
              <w:left w:val="single" w:sz="4" w:space="0" w:color="000000"/>
              <w:bottom w:val="single" w:sz="4" w:space="0" w:color="000000"/>
            </w:tcBorders>
            <w:shd w:val="clear" w:color="auto" w:fill="auto"/>
          </w:tcPr>
          <w:p w:rsidR="00EC0E58" w:rsidRPr="00EE03FC" w:rsidRDefault="00EC0E58" w:rsidP="00BC36B0">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EE03FC" w:rsidRDefault="00EC0E58" w:rsidP="00BC36B0">
            <w:pPr>
              <w:ind w:firstLine="0"/>
              <w:rPr>
                <w:bCs/>
                <w:sz w:val="28"/>
                <w:szCs w:val="28"/>
              </w:rPr>
            </w:pPr>
            <w:r w:rsidRPr="00EE03FC">
              <w:rPr>
                <w:bCs/>
                <w:sz w:val="28"/>
                <w:szCs w:val="28"/>
              </w:rPr>
              <w:t>Обрабатывающие производства</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EE03FC" w:rsidRDefault="00555BD7" w:rsidP="00BC36B0">
            <w:pPr>
              <w:ind w:firstLine="0"/>
              <w:jc w:val="center"/>
              <w:rPr>
                <w:bCs/>
                <w:sz w:val="28"/>
                <w:szCs w:val="28"/>
              </w:rPr>
            </w:pPr>
            <w:r w:rsidRPr="00EE03FC">
              <w:rPr>
                <w:bCs/>
                <w:sz w:val="28"/>
                <w:szCs w:val="28"/>
              </w:rPr>
              <w:t>млн. руб</w:t>
            </w:r>
            <w:r>
              <w:rPr>
                <w:bCs/>
                <w:sz w:val="28"/>
                <w:szCs w:val="28"/>
              </w:rPr>
              <w:t>лей</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r w:rsidRPr="00EE03FC">
              <w:rPr>
                <w:bCs/>
                <w:sz w:val="28"/>
                <w:szCs w:val="28"/>
              </w:rPr>
              <w:t>608 118,3</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EE03FC" w:rsidRDefault="00EC0E58" w:rsidP="00BC36B0">
            <w:pPr>
              <w:ind w:firstLine="0"/>
              <w:jc w:val="center"/>
              <w:rPr>
                <w:bCs/>
                <w:sz w:val="28"/>
                <w:szCs w:val="28"/>
              </w:rPr>
            </w:pPr>
            <w:r w:rsidRPr="00EE03FC">
              <w:rPr>
                <w:bCs/>
                <w:sz w:val="28"/>
                <w:szCs w:val="28"/>
              </w:rPr>
              <w:t>617 118,3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58" w:rsidRPr="006561AD" w:rsidRDefault="00915B51" w:rsidP="00915B51">
            <w:pPr>
              <w:ind w:firstLine="0"/>
              <w:jc w:val="center"/>
              <w:rPr>
                <w:bCs/>
                <w:sz w:val="28"/>
                <w:szCs w:val="28"/>
                <w:highlight w:val="cyan"/>
              </w:rPr>
            </w:pPr>
            <w:r>
              <w:rPr>
                <w:bCs/>
                <w:sz w:val="28"/>
                <w:szCs w:val="28"/>
              </w:rPr>
              <w:t>53</w:t>
            </w:r>
            <w:r w:rsidR="009A39A7" w:rsidRPr="009A39A7">
              <w:rPr>
                <w:bCs/>
                <w:sz w:val="28"/>
                <w:szCs w:val="28"/>
              </w:rPr>
              <w:t>6</w:t>
            </w:r>
            <w:r>
              <w:rPr>
                <w:bCs/>
                <w:sz w:val="28"/>
                <w:szCs w:val="28"/>
              </w:rPr>
              <w:t> 721,2</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EE03FC" w:rsidRDefault="00EC0E58" w:rsidP="00BC36B0">
            <w:pPr>
              <w:ind w:firstLine="0"/>
              <w:rPr>
                <w:bCs/>
                <w:sz w:val="28"/>
                <w:szCs w:val="28"/>
              </w:rPr>
            </w:pPr>
            <w:r w:rsidRPr="00EE03FC">
              <w:rPr>
                <w:bCs/>
                <w:sz w:val="28"/>
                <w:szCs w:val="28"/>
              </w:rPr>
              <w:t>из них:</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r>
      <w:tr w:rsidR="00555BD7" w:rsidRPr="006561AD" w:rsidTr="00792F2B">
        <w:tc>
          <w:tcPr>
            <w:tcW w:w="3687"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left="177" w:firstLine="0"/>
              <w:rPr>
                <w:bCs/>
                <w:sz w:val="28"/>
                <w:szCs w:val="28"/>
              </w:rPr>
            </w:pPr>
            <w:r w:rsidRPr="00EE03FC">
              <w:rPr>
                <w:bCs/>
                <w:sz w:val="28"/>
                <w:szCs w:val="28"/>
              </w:rPr>
              <w:t>Производство пищевых продуктов</w:t>
            </w:r>
          </w:p>
        </w:tc>
        <w:tc>
          <w:tcPr>
            <w:tcW w:w="1276"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jc w:val="center"/>
              <w:rPr>
                <w:bCs/>
                <w:sz w:val="28"/>
                <w:szCs w:val="28"/>
              </w:rPr>
            </w:pPr>
            <w:r w:rsidRPr="00EA28CB">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17 770,4</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18 499,2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BD7" w:rsidRPr="006561AD" w:rsidRDefault="00555BD7" w:rsidP="00555BD7">
            <w:pPr>
              <w:ind w:firstLine="0"/>
              <w:jc w:val="center"/>
              <w:rPr>
                <w:bCs/>
                <w:sz w:val="28"/>
                <w:szCs w:val="28"/>
                <w:highlight w:val="cyan"/>
              </w:rPr>
            </w:pPr>
            <w:r w:rsidRPr="009A39A7">
              <w:rPr>
                <w:bCs/>
                <w:sz w:val="28"/>
                <w:szCs w:val="28"/>
              </w:rPr>
              <w:t>20 485,9</w:t>
            </w:r>
          </w:p>
        </w:tc>
      </w:tr>
      <w:tr w:rsidR="00555BD7" w:rsidRPr="006561AD" w:rsidTr="00792F2B">
        <w:tc>
          <w:tcPr>
            <w:tcW w:w="3687"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left="177" w:firstLine="0"/>
              <w:rPr>
                <w:bCs/>
                <w:sz w:val="28"/>
                <w:szCs w:val="28"/>
              </w:rPr>
            </w:pPr>
            <w:r w:rsidRPr="00EE03FC">
              <w:rPr>
                <w:bCs/>
                <w:sz w:val="28"/>
                <w:szCs w:val="28"/>
              </w:rPr>
              <w:t>Производство химических веществ и химических продуктов</w:t>
            </w:r>
          </w:p>
        </w:tc>
        <w:tc>
          <w:tcPr>
            <w:tcW w:w="1276"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jc w:val="center"/>
              <w:rPr>
                <w:bCs/>
                <w:sz w:val="28"/>
                <w:szCs w:val="28"/>
              </w:rPr>
            </w:pPr>
            <w:r w:rsidRPr="00EA28CB">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196 067,7</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198 020,2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BD7" w:rsidRPr="006561AD" w:rsidRDefault="00555BD7" w:rsidP="00555BD7">
            <w:pPr>
              <w:snapToGrid w:val="0"/>
              <w:ind w:firstLine="0"/>
              <w:jc w:val="center"/>
              <w:rPr>
                <w:bCs/>
                <w:sz w:val="28"/>
                <w:szCs w:val="28"/>
                <w:highlight w:val="cyan"/>
              </w:rPr>
            </w:pPr>
            <w:r w:rsidRPr="009A39A7">
              <w:rPr>
                <w:bCs/>
                <w:sz w:val="28"/>
                <w:szCs w:val="28"/>
              </w:rPr>
              <w:t>248 134,5</w:t>
            </w:r>
          </w:p>
        </w:tc>
      </w:tr>
      <w:tr w:rsidR="00555BD7" w:rsidRPr="006561AD" w:rsidTr="00792F2B">
        <w:tc>
          <w:tcPr>
            <w:tcW w:w="3687"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left="177" w:firstLine="0"/>
              <w:rPr>
                <w:bCs/>
                <w:sz w:val="28"/>
                <w:szCs w:val="28"/>
              </w:rPr>
            </w:pPr>
            <w:r w:rsidRPr="00EE03FC">
              <w:rPr>
                <w:bCs/>
                <w:sz w:val="28"/>
                <w:szCs w:val="28"/>
              </w:rPr>
              <w:t>Производство автотранспортных средств, прицепов и полуприцепов</w:t>
            </w:r>
          </w:p>
        </w:tc>
        <w:tc>
          <w:tcPr>
            <w:tcW w:w="1276"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jc w:val="center"/>
              <w:rPr>
                <w:bCs/>
                <w:sz w:val="28"/>
                <w:szCs w:val="28"/>
              </w:rPr>
            </w:pPr>
            <w:r w:rsidRPr="00EA28CB">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362 736,8</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368 358,0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BD7" w:rsidRPr="006561AD" w:rsidRDefault="00555BD7" w:rsidP="00555BD7">
            <w:pPr>
              <w:ind w:firstLine="0"/>
              <w:jc w:val="center"/>
              <w:rPr>
                <w:bCs/>
                <w:sz w:val="28"/>
                <w:szCs w:val="28"/>
                <w:highlight w:val="cyan"/>
              </w:rPr>
            </w:pPr>
            <w:r>
              <w:rPr>
                <w:bCs/>
                <w:sz w:val="28"/>
                <w:szCs w:val="28"/>
              </w:rPr>
              <w:t>212</w:t>
            </w:r>
            <w:r w:rsidRPr="009A39A7">
              <w:rPr>
                <w:bCs/>
                <w:sz w:val="28"/>
                <w:szCs w:val="28"/>
              </w:rPr>
              <w:t> </w:t>
            </w:r>
            <w:r>
              <w:rPr>
                <w:bCs/>
                <w:sz w:val="28"/>
                <w:szCs w:val="28"/>
              </w:rPr>
              <w:t>590</w:t>
            </w:r>
            <w:r w:rsidRPr="009A39A7">
              <w:rPr>
                <w:bCs/>
                <w:sz w:val="28"/>
                <w:szCs w:val="28"/>
              </w:rPr>
              <w:t>,</w:t>
            </w:r>
            <w:r>
              <w:rPr>
                <w:bCs/>
                <w:sz w:val="28"/>
                <w:szCs w:val="28"/>
              </w:rPr>
              <w:t>5</w:t>
            </w:r>
          </w:p>
        </w:tc>
      </w:tr>
      <w:tr w:rsidR="00555BD7" w:rsidRPr="009A39A7" w:rsidTr="00792F2B">
        <w:tc>
          <w:tcPr>
            <w:tcW w:w="3687"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left="177" w:firstLine="0"/>
              <w:rPr>
                <w:bCs/>
                <w:sz w:val="28"/>
                <w:szCs w:val="28"/>
              </w:rPr>
            </w:pPr>
            <w:r w:rsidRPr="00EE03FC">
              <w:rPr>
                <w:bCs/>
                <w:sz w:val="28"/>
                <w:szCs w:val="28"/>
              </w:rPr>
              <w:t>Прочие виды экономической деятельности раздела С</w:t>
            </w:r>
          </w:p>
        </w:tc>
        <w:tc>
          <w:tcPr>
            <w:tcW w:w="1276"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jc w:val="center"/>
              <w:rPr>
                <w:bCs/>
                <w:sz w:val="28"/>
                <w:szCs w:val="28"/>
              </w:rPr>
            </w:pPr>
            <w:r w:rsidRPr="00EA28CB">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31 543,4</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EE03FC" w:rsidRDefault="00555BD7" w:rsidP="00555BD7">
            <w:pPr>
              <w:ind w:firstLine="0"/>
              <w:jc w:val="center"/>
              <w:rPr>
                <w:bCs/>
                <w:sz w:val="28"/>
                <w:szCs w:val="28"/>
              </w:rPr>
            </w:pPr>
            <w:r w:rsidRPr="00EE03FC">
              <w:rPr>
                <w:bCs/>
                <w:sz w:val="28"/>
                <w:szCs w:val="28"/>
              </w:rPr>
              <w:t>32 309,1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BD7" w:rsidRPr="009A39A7" w:rsidRDefault="00555BD7" w:rsidP="00555BD7">
            <w:pPr>
              <w:ind w:firstLine="0"/>
              <w:jc w:val="center"/>
              <w:rPr>
                <w:bCs/>
                <w:sz w:val="28"/>
                <w:szCs w:val="28"/>
              </w:rPr>
            </w:pPr>
            <w:r w:rsidRPr="009A39A7">
              <w:rPr>
                <w:bCs/>
                <w:sz w:val="28"/>
                <w:szCs w:val="28"/>
              </w:rPr>
              <w:t>55 510,3</w:t>
            </w:r>
          </w:p>
        </w:tc>
      </w:tr>
      <w:tr w:rsidR="00555BD7" w:rsidRPr="006561AD" w:rsidTr="00792F2B">
        <w:tc>
          <w:tcPr>
            <w:tcW w:w="3687"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rPr>
                <w:bCs/>
                <w:sz w:val="28"/>
                <w:szCs w:val="28"/>
              </w:rPr>
            </w:pPr>
            <w:r w:rsidRPr="00EE03FC">
              <w:rPr>
                <w:bCs/>
                <w:sz w:val="28"/>
                <w:szCs w:val="28"/>
              </w:rPr>
              <w:t>Обеспечение электрической энергией, газом и паром; кондиционирование воздуха</w:t>
            </w:r>
          </w:p>
        </w:tc>
        <w:tc>
          <w:tcPr>
            <w:tcW w:w="1276"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jc w:val="center"/>
              <w:rPr>
                <w:bCs/>
                <w:sz w:val="28"/>
                <w:szCs w:val="28"/>
              </w:rPr>
            </w:pPr>
            <w:r w:rsidRPr="00890D4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C55290" w:rsidRDefault="00555BD7" w:rsidP="00555BD7">
            <w:pPr>
              <w:ind w:firstLine="0"/>
              <w:jc w:val="center"/>
              <w:rPr>
                <w:bCs/>
                <w:sz w:val="28"/>
                <w:szCs w:val="28"/>
              </w:rPr>
            </w:pPr>
            <w:r w:rsidRPr="00C55290">
              <w:rPr>
                <w:bCs/>
                <w:sz w:val="28"/>
                <w:szCs w:val="28"/>
              </w:rPr>
              <w:t>23 237,8</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C55290" w:rsidRDefault="00555BD7" w:rsidP="00555BD7">
            <w:pPr>
              <w:ind w:firstLine="0"/>
              <w:jc w:val="center"/>
              <w:rPr>
                <w:bCs/>
                <w:sz w:val="28"/>
                <w:szCs w:val="28"/>
              </w:rPr>
            </w:pPr>
            <w:r w:rsidRPr="00C55290">
              <w:rPr>
                <w:bCs/>
                <w:sz w:val="28"/>
                <w:szCs w:val="28"/>
              </w:rPr>
              <w:t>23 949,1</w:t>
            </w:r>
          </w:p>
        </w:tc>
        <w:tc>
          <w:tcPr>
            <w:tcW w:w="1418" w:type="dxa"/>
            <w:tcBorders>
              <w:top w:val="single" w:sz="4" w:space="0" w:color="000000"/>
              <w:left w:val="single" w:sz="4" w:space="0" w:color="000000"/>
              <w:bottom w:val="single" w:sz="4" w:space="0" w:color="000000"/>
              <w:right w:val="single" w:sz="4" w:space="0" w:color="000000"/>
            </w:tcBorders>
            <w:vAlign w:val="center"/>
          </w:tcPr>
          <w:p w:rsidR="00555BD7" w:rsidRPr="006561AD" w:rsidRDefault="00555BD7" w:rsidP="00555BD7">
            <w:pPr>
              <w:ind w:firstLine="0"/>
              <w:jc w:val="center"/>
              <w:rPr>
                <w:bCs/>
                <w:sz w:val="28"/>
                <w:szCs w:val="28"/>
                <w:highlight w:val="cyan"/>
              </w:rPr>
            </w:pPr>
            <w:r w:rsidRPr="009A39A7">
              <w:rPr>
                <w:bCs/>
                <w:sz w:val="28"/>
                <w:szCs w:val="28"/>
              </w:rPr>
              <w:t>23 918,7</w:t>
            </w:r>
          </w:p>
        </w:tc>
      </w:tr>
      <w:tr w:rsidR="00555BD7" w:rsidRPr="006561AD" w:rsidTr="00792F2B">
        <w:tc>
          <w:tcPr>
            <w:tcW w:w="3687"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rPr>
                <w:bCs/>
                <w:sz w:val="28"/>
                <w:szCs w:val="28"/>
              </w:rPr>
            </w:pPr>
            <w:r w:rsidRPr="00EE03FC">
              <w:rPr>
                <w:bCs/>
                <w:sz w:val="28"/>
                <w:szCs w:val="28"/>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000000"/>
              <w:left w:val="single" w:sz="4" w:space="0" w:color="000000"/>
              <w:bottom w:val="single" w:sz="4" w:space="0" w:color="000000"/>
            </w:tcBorders>
            <w:shd w:val="clear" w:color="auto" w:fill="auto"/>
          </w:tcPr>
          <w:p w:rsidR="00555BD7" w:rsidRPr="00EE03FC" w:rsidRDefault="00555BD7" w:rsidP="00555BD7">
            <w:pPr>
              <w:ind w:firstLine="0"/>
              <w:jc w:val="center"/>
              <w:rPr>
                <w:bCs/>
                <w:sz w:val="28"/>
                <w:szCs w:val="28"/>
              </w:rPr>
            </w:pPr>
            <w:r w:rsidRPr="00890D4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C55290" w:rsidRDefault="00555BD7" w:rsidP="00555BD7">
            <w:pPr>
              <w:ind w:firstLine="0"/>
              <w:jc w:val="center"/>
              <w:rPr>
                <w:bCs/>
                <w:sz w:val="28"/>
                <w:szCs w:val="28"/>
              </w:rPr>
            </w:pPr>
            <w:r w:rsidRPr="00C55290">
              <w:rPr>
                <w:bCs/>
                <w:sz w:val="28"/>
                <w:szCs w:val="28"/>
              </w:rPr>
              <w:t>16 902,6</w:t>
            </w:r>
          </w:p>
        </w:tc>
        <w:tc>
          <w:tcPr>
            <w:tcW w:w="1559" w:type="dxa"/>
            <w:tcBorders>
              <w:top w:val="single" w:sz="4" w:space="0" w:color="000000"/>
              <w:left w:val="single" w:sz="4" w:space="0" w:color="000000"/>
              <w:bottom w:val="single" w:sz="4" w:space="0" w:color="000000"/>
            </w:tcBorders>
            <w:shd w:val="clear" w:color="auto" w:fill="auto"/>
            <w:vAlign w:val="center"/>
          </w:tcPr>
          <w:p w:rsidR="00555BD7" w:rsidRPr="00C55290" w:rsidRDefault="00555BD7" w:rsidP="00555BD7">
            <w:pPr>
              <w:ind w:firstLine="0"/>
              <w:jc w:val="center"/>
              <w:rPr>
                <w:bCs/>
                <w:sz w:val="28"/>
                <w:szCs w:val="28"/>
              </w:rPr>
            </w:pPr>
            <w:r w:rsidRPr="00C55290">
              <w:rPr>
                <w:bCs/>
                <w:sz w:val="28"/>
                <w:szCs w:val="28"/>
              </w:rPr>
              <w:t>16 954,1</w:t>
            </w:r>
          </w:p>
        </w:tc>
        <w:tc>
          <w:tcPr>
            <w:tcW w:w="1418" w:type="dxa"/>
            <w:tcBorders>
              <w:top w:val="single" w:sz="4" w:space="0" w:color="000000"/>
              <w:left w:val="single" w:sz="4" w:space="0" w:color="000000"/>
              <w:bottom w:val="single" w:sz="4" w:space="0" w:color="000000"/>
              <w:right w:val="single" w:sz="4" w:space="0" w:color="000000"/>
            </w:tcBorders>
            <w:vAlign w:val="center"/>
          </w:tcPr>
          <w:p w:rsidR="00555BD7" w:rsidRPr="006561AD" w:rsidRDefault="00555BD7" w:rsidP="00555BD7">
            <w:pPr>
              <w:ind w:firstLine="0"/>
              <w:jc w:val="center"/>
              <w:rPr>
                <w:bCs/>
                <w:sz w:val="28"/>
                <w:szCs w:val="28"/>
                <w:highlight w:val="cyan"/>
              </w:rPr>
            </w:pPr>
            <w:r w:rsidRPr="009A39A7">
              <w:rPr>
                <w:bCs/>
                <w:sz w:val="28"/>
                <w:szCs w:val="28"/>
              </w:rPr>
              <w:t>14 069,6</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firstLine="0"/>
              <w:rPr>
                <w:bCs/>
                <w:sz w:val="28"/>
                <w:szCs w:val="28"/>
              </w:rPr>
            </w:pPr>
            <w:r w:rsidRPr="00C55290">
              <w:rPr>
                <w:bCs/>
                <w:sz w:val="28"/>
                <w:szCs w:val="28"/>
              </w:rPr>
              <w:t xml:space="preserve">Индекс промышленного производства </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101,9</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103,8</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9949A4" w:rsidP="00BC36B0">
            <w:pPr>
              <w:ind w:firstLine="0"/>
              <w:jc w:val="center"/>
              <w:rPr>
                <w:bCs/>
                <w:sz w:val="28"/>
                <w:szCs w:val="28"/>
                <w:highlight w:val="cyan"/>
              </w:rPr>
            </w:pPr>
            <w:r w:rsidRPr="009949A4">
              <w:rPr>
                <w:bCs/>
                <w:sz w:val="28"/>
                <w:szCs w:val="28"/>
              </w:rPr>
              <w:t>74,2</w:t>
            </w:r>
          </w:p>
        </w:tc>
      </w:tr>
      <w:tr w:rsidR="00EC0E58" w:rsidRPr="006561AD" w:rsidTr="00BC36B0">
        <w:trPr>
          <w:trHeight w:val="487"/>
        </w:trPr>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firstLine="0"/>
              <w:rPr>
                <w:bCs/>
                <w:sz w:val="28"/>
                <w:szCs w:val="28"/>
              </w:rPr>
            </w:pPr>
            <w:r w:rsidRPr="00C55290">
              <w:rPr>
                <w:bCs/>
                <w:sz w:val="28"/>
                <w:szCs w:val="28"/>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snapToGrid w:val="0"/>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snapToGrid w:val="0"/>
              <w:ind w:firstLine="0"/>
              <w:jc w:val="center"/>
              <w:rPr>
                <w:bCs/>
                <w:sz w:val="28"/>
                <w:szCs w:val="28"/>
                <w:highlight w:val="cyan"/>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snapToGrid w:val="0"/>
              <w:ind w:firstLine="0"/>
              <w:jc w:val="center"/>
              <w:rPr>
                <w:bCs/>
                <w:sz w:val="28"/>
                <w:szCs w:val="28"/>
                <w:highlight w:val="cy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EC0E58" w:rsidP="00BC36B0">
            <w:pPr>
              <w:snapToGrid w:val="0"/>
              <w:ind w:firstLine="0"/>
              <w:jc w:val="center"/>
              <w:rPr>
                <w:bCs/>
                <w:sz w:val="28"/>
                <w:szCs w:val="28"/>
                <w:highlight w:val="cyan"/>
              </w:rPr>
            </w:pP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firstLine="0"/>
              <w:rPr>
                <w:bCs/>
                <w:sz w:val="28"/>
                <w:szCs w:val="28"/>
              </w:rPr>
            </w:pPr>
            <w:r w:rsidRPr="00C55290">
              <w:rPr>
                <w:bCs/>
                <w:sz w:val="28"/>
                <w:szCs w:val="28"/>
              </w:rPr>
              <w:t>Обрабатывающие производства</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102,1</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104,1</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9949A4" w:rsidP="00BC36B0">
            <w:pPr>
              <w:ind w:firstLine="0"/>
              <w:jc w:val="center"/>
              <w:rPr>
                <w:bCs/>
                <w:sz w:val="28"/>
                <w:szCs w:val="28"/>
                <w:highlight w:val="cyan"/>
              </w:rPr>
            </w:pPr>
            <w:r w:rsidRPr="009949A4">
              <w:rPr>
                <w:bCs/>
                <w:sz w:val="28"/>
                <w:szCs w:val="28"/>
              </w:rPr>
              <w:t>73,3</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firstLine="0"/>
              <w:rPr>
                <w:bCs/>
                <w:sz w:val="28"/>
                <w:szCs w:val="28"/>
              </w:rPr>
            </w:pPr>
            <w:r w:rsidRPr="00C55290">
              <w:rPr>
                <w:bCs/>
                <w:sz w:val="28"/>
                <w:szCs w:val="28"/>
              </w:rPr>
              <w:t>из них:</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6561AD" w:rsidRDefault="00EC0E58" w:rsidP="00BC36B0">
            <w:pPr>
              <w:ind w:firstLine="0"/>
              <w:jc w:val="center"/>
              <w:rPr>
                <w:bCs/>
                <w:sz w:val="28"/>
                <w:szCs w:val="28"/>
                <w:highlight w:val="cy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EC0E58" w:rsidP="00BC36B0">
            <w:pPr>
              <w:ind w:firstLine="0"/>
              <w:jc w:val="center"/>
              <w:rPr>
                <w:bCs/>
                <w:sz w:val="28"/>
                <w:szCs w:val="28"/>
                <w:highlight w:val="cyan"/>
              </w:rPr>
            </w:pP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left="177" w:firstLine="0"/>
              <w:rPr>
                <w:bCs/>
                <w:sz w:val="28"/>
                <w:szCs w:val="28"/>
              </w:rPr>
            </w:pPr>
            <w:r w:rsidRPr="00C55290">
              <w:rPr>
                <w:bCs/>
                <w:sz w:val="28"/>
                <w:szCs w:val="28"/>
              </w:rPr>
              <w:t>Производство пищевых продуктов</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102,1</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106,7</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9A39A7" w:rsidP="00BC36B0">
            <w:pPr>
              <w:ind w:firstLine="0"/>
              <w:jc w:val="center"/>
              <w:rPr>
                <w:bCs/>
                <w:sz w:val="28"/>
                <w:szCs w:val="28"/>
                <w:highlight w:val="cyan"/>
              </w:rPr>
            </w:pPr>
            <w:r w:rsidRPr="009A39A7">
              <w:rPr>
                <w:bCs/>
                <w:sz w:val="28"/>
                <w:szCs w:val="28"/>
              </w:rPr>
              <w:t>89,8</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left="177" w:firstLine="0"/>
              <w:rPr>
                <w:bCs/>
                <w:sz w:val="28"/>
                <w:szCs w:val="28"/>
              </w:rPr>
            </w:pPr>
            <w:r w:rsidRPr="00C55290">
              <w:rPr>
                <w:bCs/>
                <w:sz w:val="28"/>
                <w:szCs w:val="28"/>
              </w:rPr>
              <w:t>Производство химических веществ и химических продуктов</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101,0</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102,5</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9949A4" w:rsidP="00BC36B0">
            <w:pPr>
              <w:ind w:firstLine="0"/>
              <w:jc w:val="center"/>
              <w:rPr>
                <w:bCs/>
                <w:sz w:val="28"/>
                <w:szCs w:val="28"/>
                <w:highlight w:val="cyan"/>
              </w:rPr>
            </w:pPr>
            <w:r w:rsidRPr="009949A4">
              <w:rPr>
                <w:bCs/>
                <w:sz w:val="28"/>
                <w:szCs w:val="28"/>
              </w:rPr>
              <w:t>73,3</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left="177" w:firstLine="0"/>
              <w:rPr>
                <w:bCs/>
                <w:sz w:val="28"/>
                <w:szCs w:val="28"/>
              </w:rPr>
            </w:pPr>
            <w:r w:rsidRPr="00C55290">
              <w:rPr>
                <w:bCs/>
                <w:sz w:val="28"/>
                <w:szCs w:val="28"/>
              </w:rPr>
              <w:t>Производство автотранспортных средств, прицепов и полуприцепов</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snapToGrid w:val="0"/>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103,0</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105,0</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9949A4" w:rsidP="00BC36B0">
            <w:pPr>
              <w:ind w:firstLine="0"/>
              <w:jc w:val="center"/>
              <w:rPr>
                <w:bCs/>
                <w:sz w:val="28"/>
                <w:szCs w:val="28"/>
                <w:highlight w:val="cyan"/>
              </w:rPr>
            </w:pPr>
            <w:r>
              <w:rPr>
                <w:bCs/>
                <w:sz w:val="28"/>
                <w:szCs w:val="28"/>
              </w:rPr>
              <w:t>7</w:t>
            </w:r>
            <w:r w:rsidR="009A39A7" w:rsidRPr="009A39A7">
              <w:rPr>
                <w:bCs/>
                <w:sz w:val="28"/>
                <w:szCs w:val="28"/>
              </w:rPr>
              <w:t>1,0</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firstLine="0"/>
              <w:rPr>
                <w:bCs/>
                <w:sz w:val="28"/>
                <w:szCs w:val="28"/>
              </w:rPr>
            </w:pPr>
            <w:r w:rsidRPr="00C55290">
              <w:rPr>
                <w:bCs/>
                <w:sz w:val="28"/>
                <w:szCs w:val="28"/>
              </w:rPr>
              <w:t>Обеспечение электрической энергией, газом и паром; кондиционирование воздуха</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snapToGrid w:val="0"/>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98,0</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101,0</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9A39A7" w:rsidRDefault="009A39A7" w:rsidP="00BC36B0">
            <w:pPr>
              <w:ind w:firstLine="0"/>
              <w:jc w:val="center"/>
              <w:rPr>
                <w:bCs/>
                <w:sz w:val="28"/>
                <w:szCs w:val="28"/>
              </w:rPr>
            </w:pPr>
            <w:r w:rsidRPr="009A39A7">
              <w:rPr>
                <w:bCs/>
                <w:sz w:val="28"/>
                <w:szCs w:val="28"/>
              </w:rPr>
              <w:t>95,5</w:t>
            </w:r>
          </w:p>
        </w:tc>
      </w:tr>
      <w:tr w:rsidR="00EC0E58" w:rsidRPr="006561AD" w:rsidTr="00BC36B0">
        <w:tc>
          <w:tcPr>
            <w:tcW w:w="3687" w:type="dxa"/>
            <w:tcBorders>
              <w:top w:val="single" w:sz="4" w:space="0" w:color="000000"/>
              <w:left w:val="single" w:sz="4" w:space="0" w:color="000000"/>
              <w:bottom w:val="single" w:sz="4" w:space="0" w:color="000000"/>
            </w:tcBorders>
            <w:shd w:val="clear" w:color="auto" w:fill="auto"/>
          </w:tcPr>
          <w:p w:rsidR="00EC0E58" w:rsidRPr="00C55290" w:rsidRDefault="00EC0E58" w:rsidP="00BC36B0">
            <w:pPr>
              <w:ind w:firstLine="0"/>
              <w:rPr>
                <w:bCs/>
                <w:sz w:val="28"/>
                <w:szCs w:val="28"/>
              </w:rPr>
            </w:pPr>
            <w:r w:rsidRPr="00C55290">
              <w:rPr>
                <w:bCs/>
                <w:sz w:val="28"/>
                <w:szCs w:val="28"/>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000000"/>
              <w:left w:val="single" w:sz="4" w:space="0" w:color="000000"/>
              <w:bottom w:val="single" w:sz="4" w:space="0" w:color="000000"/>
            </w:tcBorders>
            <w:shd w:val="clear" w:color="auto" w:fill="auto"/>
            <w:vAlign w:val="center"/>
          </w:tcPr>
          <w:p w:rsidR="00EC0E58" w:rsidRPr="00C55290" w:rsidRDefault="00EC0E58" w:rsidP="00BC36B0">
            <w:pPr>
              <w:ind w:firstLine="0"/>
              <w:jc w:val="center"/>
              <w:rPr>
                <w:bCs/>
                <w:sz w:val="28"/>
                <w:szCs w:val="28"/>
              </w:rPr>
            </w:pPr>
            <w:r w:rsidRPr="00C55290">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98,5</w:t>
            </w:r>
          </w:p>
        </w:tc>
        <w:tc>
          <w:tcPr>
            <w:tcW w:w="1559" w:type="dxa"/>
            <w:tcBorders>
              <w:top w:val="single" w:sz="4" w:space="0" w:color="000000"/>
              <w:left w:val="single" w:sz="4" w:space="0" w:color="000000"/>
              <w:bottom w:val="single" w:sz="4" w:space="0" w:color="000000"/>
            </w:tcBorders>
            <w:shd w:val="clear" w:color="auto" w:fill="auto"/>
            <w:vAlign w:val="center"/>
          </w:tcPr>
          <w:p w:rsidR="00EC0E58" w:rsidRPr="00CE0CAC" w:rsidRDefault="00EC0E58" w:rsidP="00BC36B0">
            <w:pPr>
              <w:ind w:firstLine="0"/>
              <w:jc w:val="center"/>
              <w:rPr>
                <w:bCs/>
                <w:sz w:val="28"/>
                <w:szCs w:val="28"/>
              </w:rPr>
            </w:pPr>
            <w:r w:rsidRPr="00CE0CAC">
              <w:rPr>
                <w:bCs/>
                <w:sz w:val="28"/>
                <w:szCs w:val="28"/>
              </w:rPr>
              <w:t>98,8</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9A39A7" w:rsidRDefault="009A39A7" w:rsidP="00BC36B0">
            <w:pPr>
              <w:ind w:firstLine="0"/>
              <w:jc w:val="center"/>
              <w:rPr>
                <w:bCs/>
                <w:sz w:val="28"/>
                <w:szCs w:val="28"/>
              </w:rPr>
            </w:pPr>
            <w:r w:rsidRPr="009A39A7">
              <w:rPr>
                <w:bCs/>
                <w:sz w:val="28"/>
                <w:szCs w:val="28"/>
              </w:rPr>
              <w:t>78,6</w:t>
            </w:r>
          </w:p>
        </w:tc>
      </w:tr>
    </w:tbl>
    <w:p w:rsidR="00EC0E58" w:rsidRPr="006561AD" w:rsidRDefault="00EC0E58" w:rsidP="00EC0E58">
      <w:pPr>
        <w:spacing w:line="276" w:lineRule="auto"/>
        <w:rPr>
          <w:sz w:val="28"/>
          <w:szCs w:val="28"/>
          <w:highlight w:val="cyan"/>
        </w:rPr>
      </w:pPr>
    </w:p>
    <w:p w:rsidR="00EC0E58" w:rsidRPr="0061020A" w:rsidRDefault="00EC0E58" w:rsidP="00EC0E58">
      <w:pPr>
        <w:spacing w:line="276" w:lineRule="auto"/>
        <w:rPr>
          <w:sz w:val="28"/>
          <w:szCs w:val="28"/>
        </w:rPr>
      </w:pPr>
      <w:r w:rsidRPr="00497A44">
        <w:rPr>
          <w:sz w:val="28"/>
          <w:szCs w:val="28"/>
        </w:rPr>
        <w:t xml:space="preserve">Значения показателей промышленного сектора экономики на 2022 год скорректированы относительно прошлогоднего прогноза на основании сложившейся в текущем году динамики фактических значений показателей. </w:t>
      </w:r>
      <w:r w:rsidRPr="0061020A">
        <w:rPr>
          <w:sz w:val="28"/>
          <w:szCs w:val="28"/>
        </w:rPr>
        <w:t>Практически все показатели скорректированы в сторону у</w:t>
      </w:r>
      <w:r w:rsidR="00574F27" w:rsidRPr="0061020A">
        <w:rPr>
          <w:sz w:val="28"/>
          <w:szCs w:val="28"/>
        </w:rPr>
        <w:t>меньшения</w:t>
      </w:r>
      <w:r w:rsidRPr="0061020A">
        <w:rPr>
          <w:sz w:val="28"/>
          <w:szCs w:val="28"/>
        </w:rPr>
        <w:t xml:space="preserve">, более всего – в обрабатывающем секторе: </w:t>
      </w:r>
      <w:r w:rsidR="00574F27" w:rsidRPr="0061020A">
        <w:rPr>
          <w:sz w:val="28"/>
          <w:szCs w:val="28"/>
        </w:rPr>
        <w:t>вследствие длительных остановок производств</w:t>
      </w:r>
      <w:r w:rsidR="00555BD7">
        <w:rPr>
          <w:sz w:val="28"/>
          <w:szCs w:val="28"/>
        </w:rPr>
        <w:t>а</w:t>
      </w:r>
      <w:r w:rsidR="00574F27" w:rsidRPr="0061020A">
        <w:rPr>
          <w:sz w:val="28"/>
          <w:szCs w:val="28"/>
        </w:rPr>
        <w:t xml:space="preserve"> </w:t>
      </w:r>
      <w:r w:rsidR="0061020A" w:rsidRPr="0061020A">
        <w:rPr>
          <w:sz w:val="28"/>
          <w:szCs w:val="28"/>
        </w:rPr>
        <w:t>на крупных промышленных предприятиях</w:t>
      </w:r>
      <w:r w:rsidRPr="0061020A">
        <w:rPr>
          <w:sz w:val="28"/>
          <w:szCs w:val="28"/>
        </w:rPr>
        <w:t xml:space="preserve">. </w:t>
      </w:r>
    </w:p>
    <w:p w:rsidR="006707EE" w:rsidRPr="006707EE" w:rsidRDefault="006707EE" w:rsidP="006707EE">
      <w:pPr>
        <w:spacing w:line="276" w:lineRule="auto"/>
        <w:ind w:right="-1"/>
        <w:rPr>
          <w:sz w:val="28"/>
          <w:szCs w:val="28"/>
        </w:rPr>
      </w:pPr>
      <w:r w:rsidRPr="006707EE">
        <w:rPr>
          <w:sz w:val="28"/>
          <w:szCs w:val="28"/>
        </w:rPr>
        <w:t>Объем отгруженной химической продукции, напротив, скорректирован в сторону увеличения вследстви</w:t>
      </w:r>
      <w:r>
        <w:rPr>
          <w:sz w:val="28"/>
          <w:szCs w:val="28"/>
        </w:rPr>
        <w:t>е</w:t>
      </w:r>
      <w:r w:rsidRPr="006707EE">
        <w:rPr>
          <w:sz w:val="28"/>
          <w:szCs w:val="28"/>
        </w:rPr>
        <w:t xml:space="preserve"> </w:t>
      </w:r>
      <w:r w:rsidR="004E165C">
        <w:rPr>
          <w:sz w:val="28"/>
          <w:szCs w:val="28"/>
        </w:rPr>
        <w:t>увеличения</w:t>
      </w:r>
      <w:r w:rsidR="00B61BB0">
        <w:rPr>
          <w:sz w:val="28"/>
          <w:szCs w:val="28"/>
        </w:rPr>
        <w:t xml:space="preserve"> объема реализованной экспортоориентированной химической продукции</w:t>
      </w:r>
      <w:r w:rsidR="004E165C">
        <w:rPr>
          <w:sz w:val="28"/>
          <w:szCs w:val="28"/>
        </w:rPr>
        <w:t xml:space="preserve"> в условиях роста цен на мировом рынке</w:t>
      </w:r>
      <w:r w:rsidRPr="006707EE">
        <w:rPr>
          <w:sz w:val="28"/>
          <w:szCs w:val="28"/>
        </w:rPr>
        <w:t xml:space="preserve">. </w:t>
      </w:r>
    </w:p>
    <w:p w:rsidR="00B61BB0" w:rsidRPr="00555BD7" w:rsidRDefault="00555BD7" w:rsidP="004E165C">
      <w:pPr>
        <w:spacing w:after="120" w:line="276" w:lineRule="auto"/>
        <w:ind w:right="-1"/>
        <w:rPr>
          <w:bCs/>
          <w:sz w:val="28"/>
          <w:szCs w:val="28"/>
        </w:rPr>
      </w:pPr>
      <w:r w:rsidRPr="00555BD7">
        <w:rPr>
          <w:bCs/>
          <w:sz w:val="28"/>
          <w:szCs w:val="28"/>
        </w:rPr>
        <w:t xml:space="preserve">Производство </w:t>
      </w:r>
      <w:r>
        <w:rPr>
          <w:bCs/>
          <w:sz w:val="28"/>
          <w:szCs w:val="28"/>
        </w:rPr>
        <w:t>отдельных видов промышленной продукции в натуральном выражении не прогнозируется в следствие отсутствия статис</w:t>
      </w:r>
      <w:r w:rsidR="004E165C">
        <w:rPr>
          <w:bCs/>
          <w:sz w:val="28"/>
          <w:szCs w:val="28"/>
        </w:rPr>
        <w:t>т</w:t>
      </w:r>
      <w:r>
        <w:rPr>
          <w:bCs/>
          <w:sz w:val="28"/>
          <w:szCs w:val="28"/>
        </w:rPr>
        <w:t>ических данных.</w:t>
      </w:r>
    </w:p>
    <w:p w:rsidR="00EC0E58" w:rsidRPr="0061020A" w:rsidRDefault="00EC0E58" w:rsidP="004E165C">
      <w:pPr>
        <w:spacing w:after="120" w:line="276" w:lineRule="auto"/>
        <w:ind w:right="-1"/>
        <w:jc w:val="center"/>
        <w:rPr>
          <w:b/>
          <w:sz w:val="28"/>
          <w:szCs w:val="28"/>
        </w:rPr>
      </w:pPr>
      <w:r w:rsidRPr="0061020A">
        <w:rPr>
          <w:b/>
          <w:sz w:val="28"/>
          <w:szCs w:val="28"/>
        </w:rPr>
        <w:t>Малое и среднее предпринимательство</w:t>
      </w:r>
      <w:bookmarkStart w:id="2" w:name="пред"/>
      <w:bookmarkEnd w:id="2"/>
    </w:p>
    <w:p w:rsidR="00466E22" w:rsidRPr="007D47B8" w:rsidRDefault="00466E22" w:rsidP="004E165C">
      <w:pPr>
        <w:spacing w:line="276" w:lineRule="auto"/>
        <w:rPr>
          <w:sz w:val="28"/>
          <w:szCs w:val="28"/>
        </w:rPr>
      </w:pPr>
      <w:bookmarkStart w:id="3" w:name="_Hlk85732208"/>
      <w:r w:rsidRPr="0094591F">
        <w:rPr>
          <w:sz w:val="28"/>
          <w:szCs w:val="28"/>
        </w:rPr>
        <w:t xml:space="preserve">Сведения о количестве субъектов малого и среднего предпринимательства (далее по разделу – СМСП) в городском округе Тольятти получены на основании данных, содержащихся в Едином реестре субъектов малого и среднего предпринимательства (далее по разделу – Реестр), на сайте ФНС России. При ведении Реестра предусмотрено </w:t>
      </w:r>
      <w:r w:rsidRPr="007D47B8">
        <w:rPr>
          <w:sz w:val="28"/>
          <w:szCs w:val="28"/>
        </w:rPr>
        <w:t xml:space="preserve">ежемесячное (10 числа каждого месяца) обновление сведений о СМСП. Сведения о принадлежности хозяйствующего субъекта к категории СМСП обновляются налоговыми органами с 2020 года ежегодно 10 </w:t>
      </w:r>
      <w:r>
        <w:rPr>
          <w:sz w:val="28"/>
          <w:szCs w:val="28"/>
        </w:rPr>
        <w:t>июля</w:t>
      </w:r>
      <w:r w:rsidRPr="007D47B8">
        <w:rPr>
          <w:sz w:val="28"/>
          <w:szCs w:val="28"/>
        </w:rPr>
        <w:t>.</w:t>
      </w:r>
    </w:p>
    <w:p w:rsidR="00F5766B" w:rsidRDefault="00F5766B" w:rsidP="004E165C">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F5766B">
        <w:rPr>
          <w:sz w:val="28"/>
          <w:szCs w:val="28"/>
        </w:rPr>
        <w:t xml:space="preserve">По данным Реестра по состоянию </w:t>
      </w:r>
      <w:r w:rsidR="004E165C">
        <w:rPr>
          <w:sz w:val="28"/>
          <w:szCs w:val="28"/>
        </w:rPr>
        <w:t xml:space="preserve">на 10.07.2022 составляло 29770 единиц, </w:t>
      </w:r>
      <w:r w:rsidRPr="00F5766B">
        <w:rPr>
          <w:sz w:val="28"/>
          <w:szCs w:val="28"/>
        </w:rPr>
        <w:t>на 10.10.2022 в городском округе Тольятти зарегистрировано 30 839 СМСП, что на 1 521 единицу меньше, чем на начало 2022 года. Более всего снизились микропредприятия – на 9,9% (1 652 единицы). Количество индивидуальных предпринимателей незначительно увеличилось относительно уровня начала 2022 года – 14 706 человек (</w:t>
      </w:r>
      <w:r w:rsidR="009C7C64">
        <w:rPr>
          <w:sz w:val="28"/>
          <w:szCs w:val="28"/>
        </w:rPr>
        <w:t xml:space="preserve">на </w:t>
      </w:r>
      <w:r w:rsidRPr="00F5766B">
        <w:rPr>
          <w:sz w:val="28"/>
          <w:szCs w:val="28"/>
        </w:rPr>
        <w:t>1,1% или 155 человек</w:t>
      </w:r>
      <w:r w:rsidR="009C7C64">
        <w:rPr>
          <w:sz w:val="28"/>
          <w:szCs w:val="28"/>
        </w:rPr>
        <w:t xml:space="preserve"> больше</w:t>
      </w:r>
      <w:r w:rsidRPr="00F5766B">
        <w:rPr>
          <w:sz w:val="28"/>
          <w:szCs w:val="28"/>
        </w:rPr>
        <w:t>).</w:t>
      </w:r>
    </w:p>
    <w:p w:rsidR="00F5766B" w:rsidRPr="00935A35" w:rsidRDefault="00F5766B" w:rsidP="00F5766B">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115AE1">
        <w:rPr>
          <w:sz w:val="28"/>
          <w:szCs w:val="28"/>
        </w:rPr>
        <w:t>Максимальное снижение числа СМСП наблюдалось по видам деятельности: «строительство» - на 13,1% (491 ед</w:t>
      </w:r>
      <w:r w:rsidR="004B5FAC">
        <w:rPr>
          <w:sz w:val="28"/>
          <w:szCs w:val="28"/>
        </w:rPr>
        <w:t>иница</w:t>
      </w:r>
      <w:r w:rsidRPr="00115AE1">
        <w:rPr>
          <w:sz w:val="28"/>
          <w:szCs w:val="28"/>
        </w:rPr>
        <w:t>), «торговля» - на 5,1% (597 ед</w:t>
      </w:r>
      <w:r w:rsidR="004B5FAC">
        <w:rPr>
          <w:sz w:val="28"/>
          <w:szCs w:val="28"/>
        </w:rPr>
        <w:t>иниц</w:t>
      </w:r>
      <w:r w:rsidRPr="00115AE1">
        <w:rPr>
          <w:sz w:val="28"/>
          <w:szCs w:val="28"/>
        </w:rPr>
        <w:t>), «транспортировка и хранение» - на 4,3% (159 ед</w:t>
      </w:r>
      <w:r w:rsidR="004B5FAC">
        <w:rPr>
          <w:sz w:val="28"/>
          <w:szCs w:val="28"/>
        </w:rPr>
        <w:t>иниц</w:t>
      </w:r>
      <w:r w:rsidRPr="00115AE1">
        <w:rPr>
          <w:sz w:val="28"/>
          <w:szCs w:val="28"/>
        </w:rPr>
        <w:t>), «обрабатывающие производства» - на 2,0% (54 ед</w:t>
      </w:r>
      <w:r w:rsidR="004B5FAC">
        <w:rPr>
          <w:sz w:val="28"/>
          <w:szCs w:val="28"/>
        </w:rPr>
        <w:t>иниц</w:t>
      </w:r>
      <w:r w:rsidRPr="00115AE1">
        <w:rPr>
          <w:sz w:val="28"/>
          <w:szCs w:val="28"/>
        </w:rPr>
        <w:t>).</w:t>
      </w:r>
    </w:p>
    <w:p w:rsidR="003D6AA0" w:rsidRPr="003D6AA0" w:rsidRDefault="003D6AA0" w:rsidP="0024684D">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3D6AA0">
        <w:rPr>
          <w:sz w:val="28"/>
          <w:szCs w:val="28"/>
        </w:rPr>
        <w:t xml:space="preserve">Сокращение числа организаций малого бизнеса обусловлено переходом юридических лиц в категории индивидуальных предпринимателей и самозанятых — бизнес предпочитает переходить в альтернативные режимы в условиях неопределенности экономики. </w:t>
      </w:r>
    </w:p>
    <w:p w:rsidR="00466E22" w:rsidRDefault="00466E22" w:rsidP="0024684D">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F875A7">
        <w:rPr>
          <w:sz w:val="28"/>
          <w:szCs w:val="28"/>
        </w:rPr>
        <w:t>36,3% СМСП городского округа Тольятти заняты оптовой и розничной торговлей, ремонтом автотранспо</w:t>
      </w:r>
      <w:r w:rsidR="00F5766B">
        <w:rPr>
          <w:sz w:val="28"/>
          <w:szCs w:val="28"/>
        </w:rPr>
        <w:t>ртных средств и мотоциклов (11,2</w:t>
      </w:r>
      <w:r w:rsidRPr="00F875A7">
        <w:rPr>
          <w:sz w:val="28"/>
          <w:szCs w:val="28"/>
        </w:rPr>
        <w:t xml:space="preserve"> тыс. ед.). Привлекательность данной отрасли обусловлена высокой оборачиваемостью капитала и низкими расходами на обслуживание бизнеса. </w:t>
      </w:r>
    </w:p>
    <w:p w:rsidR="006C7A0D" w:rsidRPr="00D01D40" w:rsidRDefault="006C7A0D" w:rsidP="0024684D">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D01D40">
        <w:rPr>
          <w:sz w:val="28"/>
          <w:szCs w:val="28"/>
        </w:rPr>
        <w:t>По данным налоговых органов количество самозанятых граждан, зафиксировавших свой статус и применяющих налоговый режим «Налог на профессиональный доход», зарегистрированных на территории городского округа Тольятти, выросло с начала</w:t>
      </w:r>
      <w:r w:rsidR="00A758FB">
        <w:rPr>
          <w:sz w:val="28"/>
          <w:szCs w:val="28"/>
        </w:rPr>
        <w:t xml:space="preserve"> 2022 года</w:t>
      </w:r>
      <w:r w:rsidRPr="00D01D40">
        <w:rPr>
          <w:sz w:val="28"/>
          <w:szCs w:val="28"/>
        </w:rPr>
        <w:t xml:space="preserve"> </w:t>
      </w:r>
      <w:r w:rsidRPr="00BC08F4">
        <w:rPr>
          <w:sz w:val="28"/>
          <w:szCs w:val="28"/>
        </w:rPr>
        <w:t xml:space="preserve">года на </w:t>
      </w:r>
      <w:r w:rsidR="00BC08F4" w:rsidRPr="00BC08F4">
        <w:rPr>
          <w:sz w:val="28"/>
          <w:szCs w:val="28"/>
        </w:rPr>
        <w:t>9704</w:t>
      </w:r>
      <w:r w:rsidRPr="00BC08F4">
        <w:rPr>
          <w:sz w:val="28"/>
          <w:szCs w:val="28"/>
        </w:rPr>
        <w:t xml:space="preserve"> человек</w:t>
      </w:r>
      <w:r w:rsidR="00F20BD3">
        <w:rPr>
          <w:sz w:val="28"/>
          <w:szCs w:val="28"/>
        </w:rPr>
        <w:t>а</w:t>
      </w:r>
      <w:r w:rsidRPr="00BC08F4">
        <w:rPr>
          <w:sz w:val="28"/>
          <w:szCs w:val="28"/>
        </w:rPr>
        <w:t xml:space="preserve"> и по состоянию на 01.</w:t>
      </w:r>
      <w:r w:rsidR="00BC08F4" w:rsidRPr="00BC08F4">
        <w:rPr>
          <w:sz w:val="28"/>
          <w:szCs w:val="28"/>
        </w:rPr>
        <w:t>07</w:t>
      </w:r>
      <w:r w:rsidRPr="00BC08F4">
        <w:rPr>
          <w:sz w:val="28"/>
          <w:szCs w:val="28"/>
        </w:rPr>
        <w:t xml:space="preserve">.2022 составило  </w:t>
      </w:r>
      <w:r w:rsidR="00BC08F4" w:rsidRPr="00BC08F4">
        <w:rPr>
          <w:sz w:val="28"/>
          <w:szCs w:val="28"/>
        </w:rPr>
        <w:t>32111</w:t>
      </w:r>
      <w:r w:rsidRPr="00BC08F4">
        <w:rPr>
          <w:sz w:val="28"/>
          <w:szCs w:val="28"/>
        </w:rPr>
        <w:t xml:space="preserve"> человек (по состоянию на конец 2021 года – 22 407</w:t>
      </w:r>
      <w:r w:rsidRPr="00D01D40">
        <w:rPr>
          <w:sz w:val="28"/>
          <w:szCs w:val="28"/>
        </w:rPr>
        <w:t xml:space="preserve"> человек</w:t>
      </w:r>
      <w:r w:rsidR="00A758FB">
        <w:rPr>
          <w:sz w:val="28"/>
          <w:szCs w:val="28"/>
        </w:rPr>
        <w:t>)</w:t>
      </w:r>
      <w:r w:rsidRPr="00D01D40">
        <w:rPr>
          <w:sz w:val="28"/>
          <w:szCs w:val="28"/>
        </w:rPr>
        <w:t>.</w:t>
      </w:r>
    </w:p>
    <w:p w:rsidR="00466E22" w:rsidRPr="00D01D40" w:rsidRDefault="00466E22" w:rsidP="0024684D">
      <w:pPr>
        <w:spacing w:line="276" w:lineRule="auto"/>
        <w:ind w:firstLine="708"/>
        <w:rPr>
          <w:sz w:val="28"/>
          <w:szCs w:val="28"/>
        </w:rPr>
      </w:pPr>
      <w:r w:rsidRPr="00D01D40">
        <w:rPr>
          <w:sz w:val="28"/>
          <w:szCs w:val="28"/>
        </w:rPr>
        <w:t xml:space="preserve">Следует отметить, что </w:t>
      </w:r>
      <w:r w:rsidR="00A758FB" w:rsidRPr="00D01D40">
        <w:rPr>
          <w:sz w:val="28"/>
          <w:szCs w:val="28"/>
        </w:rPr>
        <w:t xml:space="preserve">предусмотрено законодательством </w:t>
      </w:r>
      <w:r w:rsidR="00A758FB">
        <w:rPr>
          <w:sz w:val="28"/>
          <w:szCs w:val="28"/>
        </w:rPr>
        <w:t>Российской Федерации один</w:t>
      </w:r>
      <w:r w:rsidR="00A758FB" w:rsidRPr="00D01D40">
        <w:rPr>
          <w:sz w:val="28"/>
          <w:szCs w:val="28"/>
        </w:rPr>
        <w:t xml:space="preserve"> раз в </w:t>
      </w:r>
      <w:r w:rsidR="00A758FB">
        <w:rPr>
          <w:sz w:val="28"/>
          <w:szCs w:val="28"/>
        </w:rPr>
        <w:t>пять</w:t>
      </w:r>
      <w:r w:rsidR="00A758FB" w:rsidRPr="00D01D40">
        <w:rPr>
          <w:sz w:val="28"/>
          <w:szCs w:val="28"/>
        </w:rPr>
        <w:t xml:space="preserve"> лет </w:t>
      </w:r>
      <w:r w:rsidR="00A758FB">
        <w:rPr>
          <w:sz w:val="28"/>
          <w:szCs w:val="28"/>
        </w:rPr>
        <w:t xml:space="preserve">предусмотрено </w:t>
      </w:r>
      <w:r w:rsidRPr="00D01D40">
        <w:rPr>
          <w:sz w:val="28"/>
          <w:szCs w:val="28"/>
        </w:rPr>
        <w:t xml:space="preserve">сплошное федеральное статистическое наблюдение за деятельностью СМСП, которое позволяет охватить мониторингом все категории СМСП. </w:t>
      </w:r>
      <w:r w:rsidRPr="00D01D40">
        <w:rPr>
          <w:sz w:val="28"/>
          <w:szCs w:val="28"/>
          <w:lang w:eastAsia="ru-RU"/>
        </w:rPr>
        <w:t xml:space="preserve">В первом полугодии 2021 года Росстатом проведена очередная </w:t>
      </w:r>
      <w:r w:rsidRPr="00D01D40">
        <w:rPr>
          <w:color w:val="000000"/>
          <w:sz w:val="28"/>
          <w:szCs w:val="28"/>
          <w:lang w:eastAsia="ru-RU"/>
        </w:rPr>
        <w:t>экономическая перепись малого бизнеса, п</w:t>
      </w:r>
      <w:r w:rsidRPr="00D01D40">
        <w:rPr>
          <w:sz w:val="28"/>
          <w:szCs w:val="28"/>
        </w:rPr>
        <w:t xml:space="preserve">ри этом окончательные итоги опубликованы </w:t>
      </w:r>
      <w:r w:rsidR="006C7A0D">
        <w:rPr>
          <w:sz w:val="28"/>
          <w:szCs w:val="28"/>
        </w:rPr>
        <w:t xml:space="preserve">только по Самарской области (по городскому округу Тольятти ожидаются </w:t>
      </w:r>
      <w:r w:rsidRPr="00D01D40">
        <w:rPr>
          <w:sz w:val="28"/>
          <w:szCs w:val="28"/>
        </w:rPr>
        <w:t>к концу 2022 года</w:t>
      </w:r>
      <w:r w:rsidR="006C7A0D">
        <w:rPr>
          <w:sz w:val="28"/>
          <w:szCs w:val="28"/>
        </w:rPr>
        <w:t>)</w:t>
      </w:r>
      <w:r w:rsidRPr="00D01D40">
        <w:rPr>
          <w:sz w:val="28"/>
          <w:szCs w:val="28"/>
        </w:rPr>
        <w:t>.</w:t>
      </w:r>
    </w:p>
    <w:p w:rsidR="00466E22" w:rsidRPr="003257C0" w:rsidRDefault="00466E22" w:rsidP="0024684D">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FF376E">
        <w:rPr>
          <w:sz w:val="28"/>
          <w:szCs w:val="28"/>
        </w:rPr>
        <w:t xml:space="preserve">За </w:t>
      </w:r>
      <w:r>
        <w:rPr>
          <w:sz w:val="28"/>
          <w:szCs w:val="28"/>
        </w:rPr>
        <w:t>первое</w:t>
      </w:r>
      <w:r w:rsidRPr="00FF376E">
        <w:rPr>
          <w:sz w:val="28"/>
          <w:szCs w:val="28"/>
        </w:rPr>
        <w:t xml:space="preserve"> полугодие 2022 года поступления в бюджеты всех уровней налогов от субъектов малого и среднего предпринимательства (1 463,3 млн. руб</w:t>
      </w:r>
      <w:r w:rsidR="004B5FAC">
        <w:rPr>
          <w:sz w:val="28"/>
          <w:szCs w:val="28"/>
        </w:rPr>
        <w:t>.</w:t>
      </w:r>
      <w:r w:rsidRPr="00FF376E">
        <w:rPr>
          <w:sz w:val="28"/>
          <w:szCs w:val="28"/>
        </w:rPr>
        <w:t>) увеличились на 18</w:t>
      </w:r>
      <w:r>
        <w:rPr>
          <w:sz w:val="28"/>
          <w:szCs w:val="28"/>
        </w:rPr>
        <w:t>,2</w:t>
      </w:r>
      <w:r w:rsidRPr="00FF376E">
        <w:rPr>
          <w:sz w:val="28"/>
          <w:szCs w:val="28"/>
        </w:rPr>
        <w:t>% к уровню января-июня 202</w:t>
      </w:r>
      <w:r>
        <w:rPr>
          <w:sz w:val="28"/>
          <w:szCs w:val="28"/>
        </w:rPr>
        <w:t>1</w:t>
      </w:r>
      <w:r w:rsidRPr="00FF376E">
        <w:rPr>
          <w:sz w:val="28"/>
          <w:szCs w:val="28"/>
        </w:rPr>
        <w:t xml:space="preserve"> года, в том числе в местный бюджет - на </w:t>
      </w:r>
      <w:r>
        <w:rPr>
          <w:sz w:val="28"/>
          <w:szCs w:val="28"/>
        </w:rPr>
        <w:t>2</w:t>
      </w:r>
      <w:r w:rsidRPr="00FF376E">
        <w:rPr>
          <w:sz w:val="28"/>
          <w:szCs w:val="28"/>
        </w:rPr>
        <w:t>,</w:t>
      </w:r>
      <w:r>
        <w:rPr>
          <w:sz w:val="28"/>
          <w:szCs w:val="28"/>
        </w:rPr>
        <w:t>6</w:t>
      </w:r>
      <w:r w:rsidRPr="00FF376E">
        <w:rPr>
          <w:sz w:val="28"/>
          <w:szCs w:val="28"/>
        </w:rPr>
        <w:t>% до 365,3 млн. руб</w:t>
      </w:r>
      <w:r w:rsidR="004B5FAC">
        <w:rPr>
          <w:sz w:val="28"/>
          <w:szCs w:val="28"/>
        </w:rPr>
        <w:t>.</w:t>
      </w:r>
      <w:r w:rsidRPr="003257C0">
        <w:rPr>
          <w:sz w:val="28"/>
          <w:szCs w:val="28"/>
        </w:rPr>
        <w:t>, в основном, за счёт роста количества налогоплательщиков по УСН в связи с отменой ЕНВД с 01.01.2021, а также в связи с увеличением единого норматива отчислений налога по УСН в местные бюджеты на 2021-2023 годы с 4% до 23%.</w:t>
      </w:r>
    </w:p>
    <w:p w:rsidR="009E4158" w:rsidRDefault="00466E22" w:rsidP="0024684D">
      <w:pPr>
        <w:numPr>
          <w:ilvl w:val="0"/>
          <w:numId w:val="5"/>
        </w:numPr>
        <w:tabs>
          <w:tab w:val="left" w:pos="142"/>
          <w:tab w:val="left" w:pos="9720"/>
        </w:tabs>
        <w:suppressAutoHyphens w:val="0"/>
        <w:spacing w:line="276" w:lineRule="auto"/>
        <w:ind w:left="0" w:firstLine="709"/>
        <w:contextualSpacing/>
        <w:textAlignment w:val="top"/>
        <w:rPr>
          <w:sz w:val="28"/>
          <w:szCs w:val="28"/>
          <w:lang w:eastAsia="ru-RU"/>
        </w:rPr>
      </w:pPr>
      <w:r w:rsidRPr="00D01D40">
        <w:rPr>
          <w:sz w:val="28"/>
          <w:szCs w:val="28"/>
        </w:rPr>
        <w:t xml:space="preserve">На основании сложившейся динамики показателей количество СМСП городского округа Тольятти в 2022 году </w:t>
      </w:r>
      <w:r w:rsidRPr="00FF2354">
        <w:rPr>
          <w:sz w:val="28"/>
          <w:szCs w:val="28"/>
        </w:rPr>
        <w:t>оценочно составит  3</w:t>
      </w:r>
      <w:r w:rsidR="00FF2354" w:rsidRPr="00FF2354">
        <w:rPr>
          <w:sz w:val="28"/>
          <w:szCs w:val="28"/>
        </w:rPr>
        <w:t>1</w:t>
      </w:r>
      <w:r w:rsidRPr="00FF2354">
        <w:rPr>
          <w:sz w:val="28"/>
          <w:szCs w:val="28"/>
        </w:rPr>
        <w:t>,</w:t>
      </w:r>
      <w:r w:rsidR="00FF2354" w:rsidRPr="00FF2354">
        <w:rPr>
          <w:sz w:val="28"/>
          <w:szCs w:val="28"/>
        </w:rPr>
        <w:t>5</w:t>
      </w:r>
      <w:r w:rsidRPr="00FF2354">
        <w:rPr>
          <w:sz w:val="28"/>
          <w:szCs w:val="28"/>
        </w:rPr>
        <w:t xml:space="preserve"> тыс. единиц, количество индивидуальных предпринимателей - 14,7 тыс. человек. </w:t>
      </w:r>
    </w:p>
    <w:p w:rsidR="00466E22" w:rsidRPr="00C53297" w:rsidRDefault="006C7A0D" w:rsidP="0024684D">
      <w:pPr>
        <w:numPr>
          <w:ilvl w:val="0"/>
          <w:numId w:val="5"/>
        </w:numPr>
        <w:tabs>
          <w:tab w:val="left" w:pos="142"/>
          <w:tab w:val="left" w:pos="9720"/>
        </w:tabs>
        <w:suppressAutoHyphens w:val="0"/>
        <w:spacing w:line="276" w:lineRule="auto"/>
        <w:ind w:left="0" w:firstLine="709"/>
        <w:contextualSpacing/>
        <w:textAlignment w:val="top"/>
        <w:rPr>
          <w:sz w:val="28"/>
          <w:szCs w:val="28"/>
          <w:lang w:eastAsia="ru-RU"/>
        </w:rPr>
      </w:pPr>
      <w:r>
        <w:rPr>
          <w:sz w:val="28"/>
          <w:szCs w:val="28"/>
        </w:rPr>
        <w:t xml:space="preserve">В условиях отсутствия актуальных </w:t>
      </w:r>
      <w:r w:rsidR="009E4158">
        <w:rPr>
          <w:sz w:val="28"/>
          <w:szCs w:val="28"/>
        </w:rPr>
        <w:t xml:space="preserve">сопоставимых </w:t>
      </w:r>
      <w:r>
        <w:rPr>
          <w:sz w:val="28"/>
          <w:szCs w:val="28"/>
        </w:rPr>
        <w:t xml:space="preserve">данных по занятым в СМСП городского округа Тольятти в текущем году, с учетом </w:t>
      </w:r>
      <w:r w:rsidR="009E4158">
        <w:rPr>
          <w:sz w:val="28"/>
          <w:szCs w:val="28"/>
        </w:rPr>
        <w:t>плановых значений</w:t>
      </w:r>
      <w:r>
        <w:rPr>
          <w:sz w:val="28"/>
          <w:szCs w:val="28"/>
        </w:rPr>
        <w:t xml:space="preserve"> показателя по </w:t>
      </w:r>
      <w:r w:rsidR="009E4158">
        <w:rPr>
          <w:sz w:val="28"/>
          <w:szCs w:val="28"/>
        </w:rPr>
        <w:t>национальному проекту «Малое и среднее предпринимательство и поддержка индивидуальной предпринимательской инициативы» на 2022 год</w:t>
      </w:r>
      <w:r>
        <w:rPr>
          <w:sz w:val="28"/>
          <w:szCs w:val="28"/>
        </w:rPr>
        <w:t xml:space="preserve"> ч</w:t>
      </w:r>
      <w:r w:rsidR="00466E22" w:rsidRPr="00FF2354">
        <w:rPr>
          <w:sz w:val="28"/>
          <w:szCs w:val="28"/>
        </w:rPr>
        <w:t xml:space="preserve">исленность работников, занятых у субъектов малого и среднего предпринимательства, включая индивидуальных предпринимателей и самозанятых граждан, оценивается на уровне </w:t>
      </w:r>
      <w:r w:rsidR="00BA753B">
        <w:rPr>
          <w:sz w:val="28"/>
          <w:szCs w:val="28"/>
        </w:rPr>
        <w:t>1</w:t>
      </w:r>
      <w:r w:rsidR="009E4158">
        <w:rPr>
          <w:sz w:val="28"/>
          <w:szCs w:val="28"/>
        </w:rPr>
        <w:t>53,9</w:t>
      </w:r>
      <w:r w:rsidR="00466E22" w:rsidRPr="00FF2354">
        <w:rPr>
          <w:sz w:val="28"/>
          <w:szCs w:val="28"/>
        </w:rPr>
        <w:t xml:space="preserve"> тыс</w:t>
      </w:r>
      <w:r>
        <w:rPr>
          <w:sz w:val="28"/>
          <w:szCs w:val="28"/>
        </w:rPr>
        <w:t>яч.</w:t>
      </w:r>
    </w:p>
    <w:bookmarkEnd w:id="3"/>
    <w:p w:rsidR="00A758FB" w:rsidRDefault="00A758FB" w:rsidP="00466E22">
      <w:pPr>
        <w:spacing w:line="276" w:lineRule="auto"/>
        <w:ind w:firstLine="0"/>
        <w:jc w:val="center"/>
        <w:rPr>
          <w:sz w:val="28"/>
          <w:szCs w:val="28"/>
        </w:rPr>
      </w:pPr>
    </w:p>
    <w:p w:rsidR="00466E22" w:rsidRPr="00D32A95" w:rsidRDefault="00466E22" w:rsidP="00466E22">
      <w:pPr>
        <w:spacing w:line="276" w:lineRule="auto"/>
        <w:ind w:firstLine="0"/>
        <w:jc w:val="center"/>
        <w:rPr>
          <w:sz w:val="28"/>
          <w:szCs w:val="28"/>
        </w:rPr>
      </w:pPr>
      <w:r w:rsidRPr="00D32A95">
        <w:rPr>
          <w:sz w:val="28"/>
          <w:szCs w:val="28"/>
        </w:rPr>
        <w:t xml:space="preserve">Ожидаемое выполнение прогнозного показателя по разделу </w:t>
      </w:r>
    </w:p>
    <w:p w:rsidR="00466E22" w:rsidRDefault="00466E22" w:rsidP="00466E22">
      <w:pPr>
        <w:spacing w:line="276" w:lineRule="auto"/>
        <w:ind w:firstLine="0"/>
        <w:jc w:val="center"/>
        <w:rPr>
          <w:sz w:val="28"/>
          <w:szCs w:val="28"/>
        </w:rPr>
      </w:pPr>
      <w:r w:rsidRPr="00D32A95">
        <w:rPr>
          <w:sz w:val="28"/>
          <w:szCs w:val="28"/>
        </w:rPr>
        <w:t>«Малое и среднее предпринимательство» на 2022 год</w:t>
      </w:r>
    </w:p>
    <w:p w:rsidR="00A758FB" w:rsidRPr="00D32A95" w:rsidRDefault="00A758FB" w:rsidP="00466E22">
      <w:pPr>
        <w:spacing w:line="276" w:lineRule="auto"/>
        <w:ind w:firstLine="0"/>
        <w:jc w:val="center"/>
        <w:rPr>
          <w:sz w:val="28"/>
          <w:szCs w:val="28"/>
        </w:rPr>
      </w:pPr>
    </w:p>
    <w:tbl>
      <w:tblPr>
        <w:tblW w:w="9356" w:type="dxa"/>
        <w:tblInd w:w="108" w:type="dxa"/>
        <w:tblLayout w:type="fixed"/>
        <w:tblLook w:val="0000" w:firstRow="0" w:lastRow="0" w:firstColumn="0" w:lastColumn="0" w:noHBand="0" w:noVBand="0"/>
      </w:tblPr>
      <w:tblGrid>
        <w:gridCol w:w="2693"/>
        <w:gridCol w:w="1560"/>
        <w:gridCol w:w="1843"/>
        <w:gridCol w:w="1559"/>
        <w:gridCol w:w="1701"/>
      </w:tblGrid>
      <w:tr w:rsidR="00466E22" w:rsidRPr="006561AD" w:rsidTr="00466E22">
        <w:tc>
          <w:tcPr>
            <w:tcW w:w="2693" w:type="dxa"/>
            <w:vMerge w:val="restart"/>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snapToGrid w:val="0"/>
              <w:ind w:firstLine="0"/>
              <w:jc w:val="center"/>
              <w:rPr>
                <w:sz w:val="28"/>
                <w:szCs w:val="28"/>
              </w:rPr>
            </w:pPr>
          </w:p>
          <w:p w:rsidR="00466E22" w:rsidRPr="00D32A95" w:rsidRDefault="00466E22" w:rsidP="00466E22">
            <w:pPr>
              <w:ind w:firstLine="0"/>
              <w:jc w:val="center"/>
              <w:rPr>
                <w:sz w:val="28"/>
                <w:szCs w:val="28"/>
              </w:rPr>
            </w:pPr>
            <w:r w:rsidRPr="00D32A95">
              <w:rPr>
                <w:sz w:val="28"/>
                <w:szCs w:val="28"/>
              </w:rPr>
              <w:t>Показатели</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Единица измерения</w:t>
            </w:r>
          </w:p>
        </w:tc>
        <w:tc>
          <w:tcPr>
            <w:tcW w:w="3402" w:type="dxa"/>
            <w:gridSpan w:val="2"/>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Прогноз на 202</w:t>
            </w:r>
            <w:r>
              <w:rPr>
                <w:sz w:val="28"/>
                <w:szCs w:val="28"/>
              </w:rPr>
              <w:t>2</w:t>
            </w:r>
            <w:r w:rsidRPr="00D32A95">
              <w:rPr>
                <w:sz w:val="28"/>
                <w:szCs w:val="28"/>
              </w:rPr>
              <w:t xml:space="preserve">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202</w:t>
            </w:r>
            <w:r>
              <w:rPr>
                <w:sz w:val="28"/>
                <w:szCs w:val="28"/>
              </w:rPr>
              <w:t>2</w:t>
            </w:r>
            <w:r w:rsidRPr="00D32A95">
              <w:rPr>
                <w:sz w:val="28"/>
                <w:szCs w:val="28"/>
              </w:rPr>
              <w:t xml:space="preserve"> год (оценка)</w:t>
            </w:r>
          </w:p>
        </w:tc>
      </w:tr>
      <w:tr w:rsidR="00466E22" w:rsidRPr="006561AD" w:rsidTr="00466E22">
        <w:trPr>
          <w:trHeight w:val="249"/>
        </w:trPr>
        <w:tc>
          <w:tcPr>
            <w:tcW w:w="2693" w:type="dxa"/>
            <w:vMerge/>
            <w:tcBorders>
              <w:top w:val="single" w:sz="4" w:space="0" w:color="000000"/>
              <w:left w:val="single" w:sz="4" w:space="0" w:color="000000"/>
              <w:bottom w:val="single" w:sz="4" w:space="0" w:color="000000"/>
            </w:tcBorders>
            <w:shd w:val="clear" w:color="auto" w:fill="auto"/>
          </w:tcPr>
          <w:p w:rsidR="00466E22" w:rsidRPr="006561AD" w:rsidRDefault="00466E22" w:rsidP="00466E22">
            <w:pPr>
              <w:snapToGrid w:val="0"/>
              <w:ind w:firstLine="0"/>
              <w:jc w:val="center"/>
              <w:rPr>
                <w:sz w:val="28"/>
                <w:szCs w:val="28"/>
                <w:highlight w:val="cyan"/>
              </w:rPr>
            </w:pPr>
          </w:p>
        </w:tc>
        <w:tc>
          <w:tcPr>
            <w:tcW w:w="1560" w:type="dxa"/>
            <w:vMerge/>
            <w:tcBorders>
              <w:top w:val="single" w:sz="4" w:space="0" w:color="000000"/>
              <w:left w:val="single" w:sz="4" w:space="0" w:color="000000"/>
              <w:bottom w:val="single" w:sz="4" w:space="0" w:color="000000"/>
            </w:tcBorders>
            <w:shd w:val="clear" w:color="auto" w:fill="auto"/>
          </w:tcPr>
          <w:p w:rsidR="00466E22" w:rsidRPr="006561AD" w:rsidRDefault="00466E22" w:rsidP="00466E22">
            <w:pPr>
              <w:snapToGrid w:val="0"/>
              <w:ind w:firstLine="0"/>
              <w:jc w:val="center"/>
              <w:rPr>
                <w:sz w:val="28"/>
                <w:szCs w:val="28"/>
                <w:highlight w:val="cyan"/>
              </w:rPr>
            </w:pPr>
          </w:p>
        </w:tc>
        <w:tc>
          <w:tcPr>
            <w:tcW w:w="1843" w:type="dxa"/>
            <w:tcBorders>
              <w:top w:val="single" w:sz="4" w:space="0" w:color="000000"/>
              <w:left w:val="single" w:sz="4" w:space="0" w:color="000000"/>
              <w:bottom w:val="single" w:sz="4" w:space="0" w:color="000000"/>
            </w:tcBorders>
            <w:vAlign w:val="center"/>
          </w:tcPr>
          <w:p w:rsidR="00466E22" w:rsidRPr="00D32A95" w:rsidRDefault="00466E22" w:rsidP="00466E22">
            <w:pPr>
              <w:ind w:firstLine="0"/>
              <w:jc w:val="center"/>
              <w:rPr>
                <w:sz w:val="28"/>
                <w:szCs w:val="28"/>
              </w:rPr>
            </w:pPr>
            <w:r w:rsidRPr="00D32A95">
              <w:rPr>
                <w:sz w:val="28"/>
                <w:szCs w:val="28"/>
              </w:rPr>
              <w:t>1 вариант (консерва</w:t>
            </w:r>
          </w:p>
          <w:p w:rsidR="00466E22" w:rsidRPr="00D32A95" w:rsidRDefault="00466E22" w:rsidP="00466E22">
            <w:pPr>
              <w:ind w:firstLine="0"/>
              <w:jc w:val="center"/>
              <w:rPr>
                <w:sz w:val="28"/>
                <w:szCs w:val="28"/>
              </w:rPr>
            </w:pPr>
            <w:r w:rsidRPr="00D32A95">
              <w:rPr>
                <w:sz w:val="28"/>
                <w:szCs w:val="28"/>
              </w:rPr>
              <w:t>тивный)</w:t>
            </w:r>
          </w:p>
        </w:tc>
        <w:tc>
          <w:tcPr>
            <w:tcW w:w="1559" w:type="dxa"/>
            <w:tcBorders>
              <w:top w:val="single" w:sz="4" w:space="0" w:color="000000"/>
              <w:left w:val="single" w:sz="4" w:space="0" w:color="000000"/>
              <w:bottom w:val="single" w:sz="4" w:space="0" w:color="000000"/>
            </w:tcBorders>
            <w:vAlign w:val="center"/>
          </w:tcPr>
          <w:p w:rsidR="00466E22" w:rsidRPr="00D32A95" w:rsidRDefault="00466E22" w:rsidP="00466E22">
            <w:pPr>
              <w:ind w:firstLine="0"/>
              <w:jc w:val="center"/>
              <w:rPr>
                <w:sz w:val="28"/>
                <w:szCs w:val="28"/>
              </w:rPr>
            </w:pPr>
            <w:r w:rsidRPr="00D32A95">
              <w:rPr>
                <w:sz w:val="28"/>
                <w:szCs w:val="28"/>
              </w:rPr>
              <w:t>2 вариант</w:t>
            </w:r>
          </w:p>
          <w:p w:rsidR="00466E22" w:rsidRPr="00D32A95" w:rsidRDefault="00466E22" w:rsidP="00466E22">
            <w:pPr>
              <w:ind w:firstLine="0"/>
              <w:jc w:val="center"/>
              <w:rPr>
                <w:sz w:val="28"/>
                <w:szCs w:val="28"/>
              </w:rPr>
            </w:pPr>
            <w:r w:rsidRPr="00D32A95">
              <w:rPr>
                <w:sz w:val="28"/>
                <w:szCs w:val="28"/>
              </w:rPr>
              <w:t>(базовый)</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466E22" w:rsidRPr="006561AD" w:rsidRDefault="00466E22" w:rsidP="00466E22">
            <w:pPr>
              <w:snapToGrid w:val="0"/>
              <w:ind w:firstLine="0"/>
              <w:jc w:val="center"/>
              <w:rPr>
                <w:sz w:val="28"/>
                <w:szCs w:val="28"/>
                <w:highlight w:val="cyan"/>
              </w:rPr>
            </w:pPr>
          </w:p>
        </w:tc>
      </w:tr>
      <w:tr w:rsidR="00466E22" w:rsidRPr="006561AD" w:rsidTr="00466E22">
        <w:tc>
          <w:tcPr>
            <w:tcW w:w="2693" w:type="dxa"/>
            <w:tcBorders>
              <w:top w:val="single" w:sz="4" w:space="0" w:color="000000"/>
              <w:left w:val="single" w:sz="4" w:space="0" w:color="000000"/>
              <w:bottom w:val="single" w:sz="4" w:space="0" w:color="000000"/>
            </w:tcBorders>
            <w:shd w:val="clear" w:color="auto" w:fill="auto"/>
          </w:tcPr>
          <w:p w:rsidR="00466E22" w:rsidRPr="00D32A95" w:rsidRDefault="00466E22" w:rsidP="00466E22">
            <w:pPr>
              <w:ind w:firstLine="0"/>
              <w:rPr>
                <w:sz w:val="28"/>
                <w:szCs w:val="28"/>
              </w:rPr>
            </w:pPr>
            <w:r w:rsidRPr="00D32A95">
              <w:rPr>
                <w:sz w:val="28"/>
                <w:szCs w:val="28"/>
              </w:rPr>
              <w:t>Количество субъектов малого и среднего предпринимательства</w:t>
            </w:r>
          </w:p>
        </w:tc>
        <w:tc>
          <w:tcPr>
            <w:tcW w:w="1560"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тыс. единиц</w:t>
            </w:r>
          </w:p>
        </w:tc>
        <w:tc>
          <w:tcPr>
            <w:tcW w:w="1843"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31,5</w:t>
            </w:r>
          </w:p>
        </w:tc>
        <w:tc>
          <w:tcPr>
            <w:tcW w:w="1559"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32,0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E22" w:rsidRPr="00C53297" w:rsidRDefault="00466E22" w:rsidP="00FF2354">
            <w:pPr>
              <w:ind w:firstLine="0"/>
              <w:jc w:val="center"/>
              <w:rPr>
                <w:sz w:val="28"/>
                <w:szCs w:val="28"/>
              </w:rPr>
            </w:pPr>
            <w:r w:rsidRPr="00FF2354">
              <w:rPr>
                <w:sz w:val="28"/>
                <w:szCs w:val="28"/>
              </w:rPr>
              <w:t>3</w:t>
            </w:r>
            <w:r w:rsidR="00FF2354" w:rsidRPr="00FF2354">
              <w:rPr>
                <w:sz w:val="28"/>
                <w:szCs w:val="28"/>
              </w:rPr>
              <w:t>1</w:t>
            </w:r>
            <w:r w:rsidRPr="00FF2354">
              <w:rPr>
                <w:sz w:val="28"/>
                <w:szCs w:val="28"/>
              </w:rPr>
              <w:t>,</w:t>
            </w:r>
            <w:r w:rsidR="00FF2354" w:rsidRPr="00FF2354">
              <w:rPr>
                <w:sz w:val="28"/>
                <w:szCs w:val="28"/>
              </w:rPr>
              <w:t>5</w:t>
            </w:r>
          </w:p>
        </w:tc>
      </w:tr>
      <w:tr w:rsidR="00466E22" w:rsidRPr="006561AD" w:rsidTr="00466E22">
        <w:tc>
          <w:tcPr>
            <w:tcW w:w="2693" w:type="dxa"/>
            <w:tcBorders>
              <w:top w:val="single" w:sz="4" w:space="0" w:color="000000"/>
              <w:left w:val="single" w:sz="4" w:space="0" w:color="000000"/>
              <w:bottom w:val="single" w:sz="4" w:space="0" w:color="000000"/>
            </w:tcBorders>
            <w:shd w:val="clear" w:color="auto" w:fill="auto"/>
          </w:tcPr>
          <w:p w:rsidR="00466E22" w:rsidRPr="00D32A95" w:rsidRDefault="00466E22" w:rsidP="00466E22">
            <w:pPr>
              <w:ind w:firstLine="0"/>
              <w:rPr>
                <w:sz w:val="28"/>
                <w:szCs w:val="28"/>
              </w:rPr>
            </w:pPr>
            <w:r w:rsidRPr="00D32A95">
              <w:rPr>
                <w:sz w:val="28"/>
                <w:szCs w:val="28"/>
              </w:rPr>
              <w:t>из них: количество индивидуальных предпринимателей</w:t>
            </w:r>
            <w:r w:rsidRPr="00D32A95">
              <w:rPr>
                <w:sz w:val="28"/>
                <w:szCs w:val="28"/>
                <w:vertAlign w:val="superscript"/>
              </w:rPr>
              <w:t>1</w:t>
            </w:r>
          </w:p>
        </w:tc>
        <w:tc>
          <w:tcPr>
            <w:tcW w:w="1560"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тыс. человек</w:t>
            </w:r>
          </w:p>
        </w:tc>
        <w:tc>
          <w:tcPr>
            <w:tcW w:w="1843"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14,2</w:t>
            </w:r>
          </w:p>
        </w:tc>
        <w:tc>
          <w:tcPr>
            <w:tcW w:w="1559"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14,5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E22" w:rsidRPr="00C53297" w:rsidRDefault="00466E22" w:rsidP="00466E22">
            <w:pPr>
              <w:ind w:firstLine="0"/>
              <w:jc w:val="center"/>
              <w:rPr>
                <w:sz w:val="28"/>
                <w:szCs w:val="28"/>
              </w:rPr>
            </w:pPr>
            <w:r w:rsidRPr="00FF2354">
              <w:rPr>
                <w:sz w:val="28"/>
                <w:szCs w:val="28"/>
              </w:rPr>
              <w:t>14,7</w:t>
            </w:r>
          </w:p>
        </w:tc>
      </w:tr>
      <w:tr w:rsidR="00466E22" w:rsidRPr="006561AD" w:rsidTr="00466E22">
        <w:tc>
          <w:tcPr>
            <w:tcW w:w="2693" w:type="dxa"/>
            <w:tcBorders>
              <w:top w:val="single" w:sz="4" w:space="0" w:color="000000"/>
              <w:left w:val="single" w:sz="4" w:space="0" w:color="000000"/>
              <w:bottom w:val="single" w:sz="4" w:space="0" w:color="000000"/>
            </w:tcBorders>
            <w:shd w:val="clear" w:color="auto" w:fill="auto"/>
          </w:tcPr>
          <w:p w:rsidR="00466E22" w:rsidRPr="00D32A95" w:rsidRDefault="00466E22" w:rsidP="00466E22">
            <w:pPr>
              <w:ind w:firstLine="0"/>
              <w:rPr>
                <w:sz w:val="28"/>
                <w:szCs w:val="28"/>
              </w:rPr>
            </w:pPr>
            <w:r w:rsidRPr="00D32A95">
              <w:rPr>
                <w:sz w:val="28"/>
                <w:szCs w:val="28"/>
              </w:rPr>
              <w:t>Численность занятых у субъектов малого и среднего предпринимательства, включая индивидуальных предпринимателей и самозанятых граждан</w:t>
            </w:r>
            <w:r w:rsidRPr="00D32A95">
              <w:rPr>
                <w:sz w:val="28"/>
                <w:szCs w:val="28"/>
                <w:vertAlign w:val="superscript"/>
              </w:rPr>
              <w:t>1</w:t>
            </w:r>
          </w:p>
        </w:tc>
        <w:tc>
          <w:tcPr>
            <w:tcW w:w="1560"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sidRPr="00D32A95">
              <w:rPr>
                <w:sz w:val="28"/>
                <w:szCs w:val="28"/>
              </w:rPr>
              <w:t>тыс. человек</w:t>
            </w:r>
          </w:p>
        </w:tc>
        <w:tc>
          <w:tcPr>
            <w:tcW w:w="1843"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rsidR="00466E22" w:rsidRPr="00D32A95" w:rsidRDefault="00466E22" w:rsidP="00466E22">
            <w:pPr>
              <w:ind w:firstLine="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E22" w:rsidRPr="00C53297" w:rsidRDefault="009E4158" w:rsidP="00466E22">
            <w:pPr>
              <w:ind w:firstLine="0"/>
              <w:jc w:val="center"/>
              <w:rPr>
                <w:sz w:val="28"/>
                <w:szCs w:val="28"/>
              </w:rPr>
            </w:pPr>
            <w:r>
              <w:rPr>
                <w:sz w:val="28"/>
                <w:szCs w:val="28"/>
              </w:rPr>
              <w:t>153,9</w:t>
            </w:r>
          </w:p>
        </w:tc>
      </w:tr>
    </w:tbl>
    <w:p w:rsidR="00466E22" w:rsidRPr="009A39A7" w:rsidRDefault="00466E22" w:rsidP="00466E22">
      <w:pPr>
        <w:pStyle w:val="af9"/>
        <w:spacing w:after="0"/>
        <w:rPr>
          <w:sz w:val="22"/>
          <w:szCs w:val="22"/>
          <w:lang w:bidi="en-US"/>
        </w:rPr>
      </w:pPr>
      <w:r w:rsidRPr="009A39A7">
        <w:rPr>
          <w:sz w:val="22"/>
          <w:szCs w:val="22"/>
          <w:vertAlign w:val="superscript"/>
        </w:rPr>
        <w:t>1</w:t>
      </w:r>
      <w:r w:rsidRPr="009A39A7">
        <w:rPr>
          <w:sz w:val="22"/>
          <w:szCs w:val="22"/>
        </w:rPr>
        <w:t xml:space="preserve"> - включено в соответствии с постановлением администрации городского округа Тольятти от 19.09.2022 № 2171-п/1 «</w:t>
      </w:r>
      <w:r w:rsidRPr="009A39A7">
        <w:rPr>
          <w:sz w:val="22"/>
          <w:szCs w:val="22"/>
          <w:lang w:bidi="en-US"/>
        </w:rPr>
        <w:t>О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p>
    <w:p w:rsidR="00466E22" w:rsidRPr="009A39A7" w:rsidRDefault="00466E22" w:rsidP="00466E22">
      <w:pPr>
        <w:widowControl w:val="0"/>
        <w:suppressAutoHyphens w:val="0"/>
        <w:spacing w:line="276" w:lineRule="auto"/>
        <w:rPr>
          <w:sz w:val="28"/>
          <w:szCs w:val="28"/>
        </w:rPr>
      </w:pPr>
    </w:p>
    <w:p w:rsidR="00033342" w:rsidRPr="0024684D" w:rsidRDefault="006C7A0D" w:rsidP="0024684D">
      <w:pPr>
        <w:pStyle w:val="afb"/>
        <w:numPr>
          <w:ilvl w:val="0"/>
          <w:numId w:val="5"/>
        </w:numPr>
        <w:spacing w:line="276" w:lineRule="auto"/>
        <w:ind w:left="0" w:firstLine="709"/>
        <w:rPr>
          <w:sz w:val="28"/>
          <w:szCs w:val="28"/>
        </w:rPr>
      </w:pPr>
      <w:r w:rsidRPr="0024684D">
        <w:rPr>
          <w:sz w:val="28"/>
          <w:szCs w:val="28"/>
        </w:rPr>
        <w:t xml:space="preserve">В условиях санкционных ограничений принят и действует целый комплекс мер государственной поддержки малого и среднего предпринимательства: </w:t>
      </w:r>
    </w:p>
    <w:p w:rsidR="005F00E6" w:rsidRPr="0024684D" w:rsidRDefault="005F00E6" w:rsidP="0024684D">
      <w:pPr>
        <w:pStyle w:val="afb"/>
        <w:numPr>
          <w:ilvl w:val="0"/>
          <w:numId w:val="5"/>
        </w:numPr>
        <w:spacing w:line="276" w:lineRule="auto"/>
        <w:ind w:left="0" w:firstLine="709"/>
        <w:rPr>
          <w:sz w:val="28"/>
          <w:szCs w:val="28"/>
        </w:rPr>
      </w:pPr>
      <w:r w:rsidRPr="0024684D">
        <w:rPr>
          <w:sz w:val="28"/>
          <w:szCs w:val="28"/>
        </w:rPr>
        <w:t xml:space="preserve">- финансовая поддержка (расширена линейка кредитов и повышена их доступность, субсидии, микрозаймы, гарантийная поддержка); </w:t>
      </w:r>
    </w:p>
    <w:p w:rsidR="005F00E6" w:rsidRPr="0024684D" w:rsidRDefault="005F00E6" w:rsidP="0024684D">
      <w:pPr>
        <w:pStyle w:val="2a"/>
        <w:spacing w:after="0" w:line="276" w:lineRule="auto"/>
        <w:rPr>
          <w:sz w:val="28"/>
          <w:szCs w:val="28"/>
          <w:shd w:val="clear" w:color="auto" w:fill="FFFFFF"/>
        </w:rPr>
      </w:pPr>
      <w:r w:rsidRPr="0024684D">
        <w:rPr>
          <w:sz w:val="28"/>
          <w:szCs w:val="28"/>
        </w:rPr>
        <w:t xml:space="preserve">Финансовую (микрозаймы) и гарантийную поддержку (поручительство) субъектам малого и среднего предпринимательства и самозанятым гражданам оказывает АО МК «Гарантийный фонд Самарской области». </w:t>
      </w:r>
      <w:r w:rsidRPr="0024684D">
        <w:rPr>
          <w:sz w:val="28"/>
          <w:szCs w:val="28"/>
          <w:shd w:val="clear" w:color="auto" w:fill="FFFFFF"/>
        </w:rPr>
        <w:t>За первое полугодие 2022 года АО МК «ГФСО» с предпринимателями, зарегистрированными на территории городского округа Тольятти, заключил: 29 договоров микрозайма на сумму 84 946 тыс. руб., 2 договора поручительства на сумму 6 500 тыс. руб.</w:t>
      </w:r>
    </w:p>
    <w:p w:rsidR="005F00E6" w:rsidRPr="0024684D" w:rsidRDefault="005F00E6" w:rsidP="0024684D">
      <w:pPr>
        <w:pStyle w:val="afb"/>
        <w:numPr>
          <w:ilvl w:val="0"/>
          <w:numId w:val="5"/>
        </w:numPr>
        <w:spacing w:line="276" w:lineRule="auto"/>
        <w:ind w:left="0" w:firstLine="709"/>
        <w:contextualSpacing/>
        <w:rPr>
          <w:rFonts w:eastAsia="Calibri"/>
          <w:sz w:val="28"/>
          <w:szCs w:val="28"/>
          <w:lang w:eastAsia="en-US"/>
        </w:rPr>
      </w:pPr>
      <w:r w:rsidRPr="0024684D">
        <w:rPr>
          <w:rFonts w:eastAsia="Calibri"/>
          <w:sz w:val="28"/>
          <w:szCs w:val="28"/>
          <w:lang w:eastAsia="en-US"/>
        </w:rPr>
        <w:t>Финансовую поддержку оказывает Фонд промышленности Самарской области – займы от 20 до 100 млн. руб</w:t>
      </w:r>
      <w:r w:rsidR="004B5FAC">
        <w:rPr>
          <w:rFonts w:eastAsia="Calibri"/>
          <w:sz w:val="28"/>
          <w:szCs w:val="28"/>
          <w:lang w:eastAsia="en-US"/>
        </w:rPr>
        <w:t>.</w:t>
      </w:r>
      <w:r w:rsidRPr="0024684D">
        <w:rPr>
          <w:rFonts w:eastAsia="Calibri"/>
          <w:sz w:val="28"/>
          <w:szCs w:val="28"/>
          <w:lang w:eastAsia="en-US"/>
        </w:rPr>
        <w:t>, процентная ставка 1-3 %, срок займа до 5 лет.</w:t>
      </w:r>
    </w:p>
    <w:p w:rsidR="005F00E6" w:rsidRPr="0024684D" w:rsidRDefault="005F00E6" w:rsidP="0024684D">
      <w:pPr>
        <w:pStyle w:val="afb"/>
        <w:numPr>
          <w:ilvl w:val="0"/>
          <w:numId w:val="5"/>
        </w:numPr>
        <w:spacing w:line="276" w:lineRule="auto"/>
        <w:ind w:left="0" w:firstLine="709"/>
        <w:contextualSpacing/>
        <w:rPr>
          <w:rFonts w:eastAsia="Calibri"/>
          <w:sz w:val="28"/>
          <w:szCs w:val="28"/>
          <w:lang w:eastAsia="en-US"/>
        </w:rPr>
      </w:pPr>
      <w:r w:rsidRPr="0024684D">
        <w:rPr>
          <w:rFonts w:eastAsia="Calibri"/>
          <w:sz w:val="28"/>
          <w:szCs w:val="28"/>
          <w:lang w:eastAsia="en-US"/>
        </w:rPr>
        <w:t>Также к дополнительным мерам поддержки субъектов малого и среднего предпринимательства относится предоставление министерством экономического развития и инвестиций Самарской области грантов в форме субсидий: для молодых предпринимателей на открытие своего дела (в возрасте до 25 лет включительно) в размере от 100 до 500 тыс. руб</w:t>
      </w:r>
      <w:r w:rsidR="004B5FAC">
        <w:rPr>
          <w:rFonts w:eastAsia="Calibri"/>
          <w:sz w:val="28"/>
          <w:szCs w:val="28"/>
          <w:lang w:eastAsia="en-US"/>
        </w:rPr>
        <w:t>.</w:t>
      </w:r>
      <w:r w:rsidRPr="0024684D">
        <w:rPr>
          <w:rFonts w:eastAsia="Calibri"/>
          <w:sz w:val="28"/>
          <w:szCs w:val="28"/>
          <w:lang w:eastAsia="en-US"/>
        </w:rPr>
        <w:t xml:space="preserve"> для ИП и юридических лиц с 14 до 25 лет и для социальных предпринимателей в размере от 100 до 500 тыс. руб.</w:t>
      </w:r>
      <w:r w:rsidR="00A758FB">
        <w:rPr>
          <w:rFonts w:eastAsia="Calibri"/>
          <w:sz w:val="28"/>
          <w:szCs w:val="28"/>
          <w:lang w:eastAsia="en-US"/>
        </w:rPr>
        <w:t>;</w:t>
      </w:r>
      <w:r w:rsidRPr="0024684D">
        <w:rPr>
          <w:rFonts w:eastAsia="Calibri"/>
          <w:sz w:val="28"/>
          <w:szCs w:val="28"/>
          <w:lang w:eastAsia="en-US"/>
        </w:rPr>
        <w:t xml:space="preserve"> </w:t>
      </w:r>
    </w:p>
    <w:p w:rsidR="005F00E6" w:rsidRPr="0024684D" w:rsidRDefault="005F00E6" w:rsidP="0024684D">
      <w:pPr>
        <w:spacing w:line="276" w:lineRule="auto"/>
        <w:rPr>
          <w:sz w:val="28"/>
          <w:szCs w:val="28"/>
        </w:rPr>
      </w:pPr>
      <w:r w:rsidRPr="0024684D">
        <w:rPr>
          <w:sz w:val="28"/>
          <w:szCs w:val="28"/>
        </w:rPr>
        <w:t xml:space="preserve">- налоговые льготы (отсрочки по уплате налоговых платежей, снижение и обнуление налоговых ставок). </w:t>
      </w:r>
    </w:p>
    <w:p w:rsidR="005F00E6" w:rsidRPr="0024684D" w:rsidRDefault="005F00E6" w:rsidP="0024684D">
      <w:pPr>
        <w:spacing w:line="276" w:lineRule="auto"/>
        <w:rPr>
          <w:sz w:val="28"/>
          <w:szCs w:val="28"/>
        </w:rPr>
      </w:pPr>
      <w:r w:rsidRPr="0024684D">
        <w:rPr>
          <w:sz w:val="28"/>
          <w:szCs w:val="28"/>
        </w:rPr>
        <w:t xml:space="preserve">Так, налоговая ставка  по налогу, взимаемому в связи с применением упрощенной системы налогообложения, снижена для отдельных категорий предпринимателей: социальных предприятий (мера поддержки действует </w:t>
      </w:r>
      <w:r w:rsidRPr="0024684D">
        <w:rPr>
          <w:rFonts w:eastAsia="Calibri"/>
          <w:bCs/>
          <w:color w:val="000000"/>
          <w:sz w:val="28"/>
          <w:szCs w:val="28"/>
          <w:lang w:eastAsia="en-US"/>
        </w:rPr>
        <w:t xml:space="preserve">по 31.12.2022) и организаций, занимающихся </w:t>
      </w:r>
      <w:r w:rsidRPr="0024684D">
        <w:rPr>
          <w:sz w:val="28"/>
          <w:szCs w:val="28"/>
        </w:rPr>
        <w:t xml:space="preserve">разработкой компьютерного программного обеспечения, информационными технологиями (мера поддержки действует </w:t>
      </w:r>
      <w:r w:rsidRPr="0024684D">
        <w:rPr>
          <w:rFonts w:eastAsia="Calibri"/>
          <w:bCs/>
          <w:color w:val="000000"/>
          <w:sz w:val="28"/>
          <w:szCs w:val="28"/>
          <w:lang w:eastAsia="en-US"/>
        </w:rPr>
        <w:t>по 31.12.2024)</w:t>
      </w:r>
      <w:r w:rsidR="00A758FB">
        <w:rPr>
          <w:rFonts w:eastAsia="Calibri"/>
          <w:bCs/>
          <w:color w:val="000000"/>
          <w:sz w:val="28"/>
          <w:szCs w:val="28"/>
          <w:lang w:eastAsia="en-US"/>
        </w:rPr>
        <w:t>;</w:t>
      </w:r>
    </w:p>
    <w:p w:rsidR="005F00E6" w:rsidRPr="0024684D" w:rsidRDefault="005F00E6" w:rsidP="0024684D">
      <w:pPr>
        <w:pStyle w:val="afb"/>
        <w:numPr>
          <w:ilvl w:val="0"/>
          <w:numId w:val="5"/>
        </w:numPr>
        <w:spacing w:line="276" w:lineRule="auto"/>
        <w:ind w:left="0" w:firstLine="709"/>
        <w:rPr>
          <w:sz w:val="28"/>
          <w:szCs w:val="28"/>
        </w:rPr>
      </w:pPr>
      <w:r w:rsidRPr="0024684D">
        <w:rPr>
          <w:sz w:val="28"/>
          <w:szCs w:val="28"/>
        </w:rPr>
        <w:t>- поддержка отраслей (IT-отрасль, транспорт, агропромышленный комплекс, промышленное производство, строительство, фармацевтика, системообразующие предприятия, гостиничный бизнес, туризм, жилищно-коммунальное хозяйство)</w:t>
      </w:r>
      <w:r w:rsidR="00A758FB">
        <w:rPr>
          <w:sz w:val="28"/>
          <w:szCs w:val="28"/>
        </w:rPr>
        <w:t>.</w:t>
      </w:r>
    </w:p>
    <w:p w:rsidR="005F00E6" w:rsidRPr="0024684D" w:rsidRDefault="005F00E6" w:rsidP="0024684D">
      <w:pPr>
        <w:pStyle w:val="afb"/>
        <w:numPr>
          <w:ilvl w:val="0"/>
          <w:numId w:val="5"/>
        </w:numPr>
        <w:spacing w:line="276" w:lineRule="auto"/>
        <w:ind w:left="0" w:firstLine="709"/>
        <w:contextualSpacing/>
        <w:rPr>
          <w:rFonts w:eastAsia="Calibri"/>
          <w:sz w:val="28"/>
          <w:szCs w:val="28"/>
          <w:lang w:eastAsia="en-US"/>
        </w:rPr>
      </w:pPr>
      <w:r w:rsidRPr="0024684D">
        <w:rPr>
          <w:rFonts w:eastAsia="Calibri"/>
          <w:sz w:val="28"/>
          <w:szCs w:val="28"/>
          <w:lang w:eastAsia="en-US"/>
        </w:rPr>
        <w:t>Экспортно-ориентированные субъекты предпринимательства Самарской области, работающие на внешних рынках, могут получить софинансирование на транспортные расходы при экспорте продукции. Предоставлением данной услуги занимается Центр поддержки экспорта Самарской области. Получить софинансирование расходов можно только на транспортные операции, осуществляющиеся на территории Российской Федерации. Услуга предусматривает возмещение до 80% затрат на транспортировку продукции в пределах установленных лимитов</w:t>
      </w:r>
      <w:r w:rsidR="00AD53C2">
        <w:rPr>
          <w:rFonts w:eastAsia="Calibri"/>
          <w:sz w:val="28"/>
          <w:szCs w:val="28"/>
          <w:lang w:eastAsia="en-US"/>
        </w:rPr>
        <w:t>;</w:t>
      </w:r>
    </w:p>
    <w:p w:rsidR="005F00E6" w:rsidRPr="0024684D" w:rsidRDefault="005F00E6" w:rsidP="0024684D">
      <w:pPr>
        <w:pStyle w:val="afb"/>
        <w:numPr>
          <w:ilvl w:val="0"/>
          <w:numId w:val="5"/>
        </w:numPr>
        <w:spacing w:line="276" w:lineRule="auto"/>
        <w:ind w:left="0" w:firstLine="709"/>
        <w:rPr>
          <w:sz w:val="28"/>
          <w:szCs w:val="28"/>
        </w:rPr>
      </w:pPr>
      <w:r w:rsidRPr="0024684D">
        <w:rPr>
          <w:sz w:val="28"/>
          <w:szCs w:val="28"/>
        </w:rPr>
        <w:t>- меры по снижению административного давления</w:t>
      </w:r>
      <w:r w:rsidR="00AD53C2">
        <w:rPr>
          <w:sz w:val="28"/>
          <w:szCs w:val="28"/>
        </w:rPr>
        <w:t>.</w:t>
      </w:r>
    </w:p>
    <w:p w:rsidR="005F00E6" w:rsidRPr="0024684D" w:rsidRDefault="005F00E6" w:rsidP="0024684D">
      <w:pPr>
        <w:pStyle w:val="afb"/>
        <w:numPr>
          <w:ilvl w:val="0"/>
          <w:numId w:val="5"/>
        </w:numPr>
        <w:spacing w:line="276" w:lineRule="auto"/>
        <w:ind w:left="0" w:firstLine="709"/>
        <w:rPr>
          <w:sz w:val="28"/>
          <w:szCs w:val="28"/>
        </w:rPr>
      </w:pPr>
      <w:r w:rsidRPr="0024684D">
        <w:rPr>
          <w:sz w:val="28"/>
          <w:szCs w:val="28"/>
        </w:rPr>
        <w:t>С 01 апреля 2022 года на полгода введен мораторий на возбуждение дел о банкротстве. На срок действия моратория в отношении должников, на которых он распространяется, не допускается обращение взыскания на заложенное имущество, в том числе во внесудебном порядке;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5F00E6" w:rsidRPr="0024684D" w:rsidRDefault="005F00E6" w:rsidP="0024684D">
      <w:pPr>
        <w:pStyle w:val="afb"/>
        <w:numPr>
          <w:ilvl w:val="0"/>
          <w:numId w:val="5"/>
        </w:numPr>
        <w:spacing w:line="276" w:lineRule="auto"/>
        <w:ind w:left="0" w:firstLine="709"/>
        <w:rPr>
          <w:sz w:val="28"/>
          <w:szCs w:val="28"/>
        </w:rPr>
      </w:pPr>
      <w:r w:rsidRPr="0024684D">
        <w:rPr>
          <w:sz w:val="28"/>
          <w:szCs w:val="28"/>
        </w:rPr>
        <w:t>Продлен мораторий на плановые проверки малого бизнеса на 2022 год. До конца 2022 года не будут проводиться плановые контрольные мероприятия (выездные и документарные проверки, инспекционные визиты, включенные в </w:t>
      </w:r>
      <w:hyperlink r:id="rId8" w:tgtFrame="_blank" w:history="1">
        <w:r w:rsidRPr="0024684D">
          <w:rPr>
            <w:sz w:val="28"/>
            <w:szCs w:val="28"/>
          </w:rPr>
          <w:t>Единый план проверок на 2022 год</w:t>
        </w:r>
      </w:hyperlink>
      <w:r w:rsidRPr="0024684D">
        <w:rPr>
          <w:sz w:val="28"/>
          <w:szCs w:val="28"/>
        </w:rPr>
        <w:t>).</w:t>
      </w:r>
    </w:p>
    <w:p w:rsidR="00466E22" w:rsidRPr="0024684D" w:rsidRDefault="00466E22" w:rsidP="0024684D">
      <w:pPr>
        <w:pStyle w:val="afb"/>
        <w:numPr>
          <w:ilvl w:val="0"/>
          <w:numId w:val="5"/>
        </w:numPr>
        <w:spacing w:line="276" w:lineRule="auto"/>
        <w:ind w:left="0" w:firstLine="709"/>
        <w:rPr>
          <w:sz w:val="28"/>
          <w:szCs w:val="28"/>
        </w:rPr>
      </w:pPr>
      <w:r w:rsidRPr="0024684D">
        <w:rPr>
          <w:sz w:val="28"/>
          <w:szCs w:val="28"/>
        </w:rPr>
        <w:t xml:space="preserve">В 2022 году на территории городского округа Тольятти продолжена реализация мероприятий по созданию условий для развития малого и среднего предпринимательства в рамках  муниципальной программы городского округа Тольятти «Развитие малого и среднего предпринимательства городского округа Тольятти на 2018-2022 годы», утвержденной постановлением мэрии городского округа Тольятти от 28.08.2017 №2917-п/1 (далее </w:t>
      </w:r>
      <w:r w:rsidR="00C27B0F" w:rsidRPr="0024684D">
        <w:rPr>
          <w:sz w:val="28"/>
          <w:szCs w:val="28"/>
        </w:rPr>
        <w:t xml:space="preserve">по разделу </w:t>
      </w:r>
      <w:r w:rsidRPr="0024684D">
        <w:rPr>
          <w:sz w:val="28"/>
          <w:szCs w:val="28"/>
        </w:rPr>
        <w:t>– Программа).</w:t>
      </w:r>
    </w:p>
    <w:p w:rsidR="00466E22" w:rsidRPr="0024684D" w:rsidRDefault="00466E22" w:rsidP="0024684D">
      <w:pPr>
        <w:pStyle w:val="afb"/>
        <w:numPr>
          <w:ilvl w:val="0"/>
          <w:numId w:val="5"/>
        </w:numPr>
        <w:spacing w:line="276" w:lineRule="auto"/>
        <w:ind w:left="0" w:firstLine="709"/>
        <w:contextualSpacing/>
        <w:rPr>
          <w:sz w:val="28"/>
          <w:szCs w:val="28"/>
        </w:rPr>
      </w:pPr>
      <w:r w:rsidRPr="0024684D">
        <w:rPr>
          <w:sz w:val="28"/>
          <w:szCs w:val="28"/>
        </w:rPr>
        <w:t>Муниципальным фондом поддержки и развития субъектов малого и среднего предпринимательства микрокредитная компания городского округа Тольятти предоставляются займы сроком до 2 лет, сумма займа до 2 000,0 тыс. руб., процентная ставка от 10% годовых для субъектов МСП и до 500,0 тыс. руб. для самозанятых граждан. В первом полугодии 2022 года Фонд выдал 15 займов на сумму 24 245,0 тыс. руб. В 2022 и 2023 годах планируется выдать  по 25 займов на сумму 33 000 тыс. руб</w:t>
      </w:r>
      <w:r w:rsidR="004B5FAC">
        <w:rPr>
          <w:sz w:val="28"/>
          <w:szCs w:val="28"/>
        </w:rPr>
        <w:t>.</w:t>
      </w:r>
      <w:r w:rsidRPr="0024684D">
        <w:rPr>
          <w:sz w:val="28"/>
          <w:szCs w:val="28"/>
        </w:rPr>
        <w:t xml:space="preserve"> ежегодно.</w:t>
      </w:r>
    </w:p>
    <w:p w:rsidR="00466E22" w:rsidRPr="0024684D" w:rsidRDefault="00466E22" w:rsidP="0024684D">
      <w:pPr>
        <w:pStyle w:val="afb"/>
        <w:numPr>
          <w:ilvl w:val="0"/>
          <w:numId w:val="5"/>
        </w:numPr>
        <w:spacing w:line="276" w:lineRule="auto"/>
        <w:ind w:left="0" w:firstLine="709"/>
        <w:contextualSpacing/>
        <w:rPr>
          <w:sz w:val="28"/>
          <w:szCs w:val="28"/>
        </w:rPr>
      </w:pPr>
      <w:r w:rsidRPr="0024684D">
        <w:rPr>
          <w:rFonts w:eastAsia="Calibri"/>
          <w:sz w:val="28"/>
          <w:szCs w:val="28"/>
          <w:lang w:eastAsia="en-US"/>
        </w:rPr>
        <w:t>Фонд предоставляет кредитные каникулы по действующим займам, оформить которые можно до 30 сентября 2022 года. В настоящее время предоставлена отсрочка по 5 договорам займа.</w:t>
      </w:r>
      <w:r w:rsidRPr="0024684D">
        <w:rPr>
          <w:sz w:val="28"/>
          <w:szCs w:val="28"/>
        </w:rPr>
        <w:t xml:space="preserve"> </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 xml:space="preserve">В целях развития инфраструктуры поддержки СМСП в городском округе Тольятти осуществляет свою деятельность бизнес-инкубатор (управляющая компания </w:t>
      </w:r>
      <w:r w:rsidR="00AD53C2">
        <w:rPr>
          <w:sz w:val="28"/>
          <w:szCs w:val="28"/>
        </w:rPr>
        <w:t xml:space="preserve">- </w:t>
      </w:r>
      <w:r w:rsidRPr="0024684D">
        <w:rPr>
          <w:sz w:val="28"/>
          <w:szCs w:val="28"/>
        </w:rPr>
        <w:t>муниципальное автономное учреждение городского округа Тольятти «Агентство экономического развития» (далее – МАУ «АЭР»), который оказывает всестороннюю поддержку начинающим и действующим предпринимателям.</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По состоянию на 01.07.2022 в бизнес-инкубаторе на праве договоров аренды нежилых помещений размещено 48 компаний-резидентов с 250 сотрудниками, выручка резидентов за январь-июнь 2022 года составила 124,8 млн. руб.</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 xml:space="preserve">Помимо этого, оказывается информационная, консультационная и образовательная поддержка для предпринимателей и физических лиц – потенциальных предпринимателей. </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 xml:space="preserve">За 6 месяцев 2022 года были проведены курсы повышения квалификации (163 слушателя), тренинги и семинары (144 слушателя). Информационная и консультационная поддержка оказана 2 518 СМСП и физическим лицам. </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До конца 2022 года будет проведено свыше 30 образовательных мероприятий совместно с региональным Фондом поддержки предпринимательства, с общим охватом свыше 400 СМСП.</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 xml:space="preserve">Так же совместно с межрегиональным Профсоюзом Предпринимателей Самарской области проводились бизнес-завтраки, с начала года проведен 71 бизнес-завтрак, участие в которых приняли 825 предпринимателей. Кроме того, проведено 12 дней закупок для малого и среднего бизнеса, с общим количеством участников 120 предпринимателей. </w:t>
      </w:r>
    </w:p>
    <w:p w:rsidR="00466E22" w:rsidRPr="0024684D" w:rsidRDefault="00466E22" w:rsidP="0024684D">
      <w:pPr>
        <w:pStyle w:val="afb"/>
        <w:numPr>
          <w:ilvl w:val="0"/>
          <w:numId w:val="5"/>
        </w:numPr>
        <w:shd w:val="clear" w:color="auto" w:fill="FFFFFF"/>
        <w:spacing w:line="276" w:lineRule="auto"/>
        <w:ind w:left="0" w:firstLine="709"/>
        <w:contextualSpacing/>
        <w:rPr>
          <w:rFonts w:eastAsia="Calibri"/>
          <w:color w:val="000000" w:themeColor="text1"/>
          <w:sz w:val="28"/>
          <w:szCs w:val="28"/>
          <w:lang w:eastAsia="en-US"/>
        </w:rPr>
      </w:pPr>
      <w:r w:rsidRPr="0024684D">
        <w:rPr>
          <w:rFonts w:eastAsia="Calibri"/>
          <w:color w:val="000000" w:themeColor="text1"/>
          <w:sz w:val="28"/>
          <w:szCs w:val="28"/>
          <w:lang w:eastAsia="en-US"/>
        </w:rPr>
        <w:t>Совместно с Фондом развития предпринимательства Самарской области проведено: 220 консультаций по правовым и финансовым вопросам ведения предпринимательской деятельности; 13 семинаров по актуальным вопросам ведения бизнеса с участием 478 СМСП; 7 тренингов, в которых приняли участие представители 200 СМСП.</w:t>
      </w:r>
    </w:p>
    <w:p w:rsidR="00466E22" w:rsidRDefault="00AD53C2" w:rsidP="0024684D">
      <w:pPr>
        <w:pStyle w:val="afb"/>
        <w:numPr>
          <w:ilvl w:val="0"/>
          <w:numId w:val="5"/>
        </w:numPr>
        <w:shd w:val="clear" w:color="auto" w:fill="FFFFFF"/>
        <w:spacing w:line="276" w:lineRule="auto"/>
        <w:ind w:left="0" w:firstLine="709"/>
        <w:contextualSpacing/>
        <w:rPr>
          <w:rFonts w:eastAsia="Calibri"/>
          <w:color w:val="000000" w:themeColor="text1"/>
          <w:sz w:val="28"/>
          <w:szCs w:val="28"/>
          <w:lang w:eastAsia="en-US"/>
        </w:rPr>
      </w:pPr>
      <w:r>
        <w:rPr>
          <w:rFonts w:eastAsia="Calibri"/>
          <w:color w:val="000000" w:themeColor="text1"/>
          <w:sz w:val="28"/>
          <w:szCs w:val="28"/>
          <w:lang w:eastAsia="en-US"/>
        </w:rPr>
        <w:t>В целях развития занятости в сфер СМСП з</w:t>
      </w:r>
      <w:r w:rsidR="00466E22" w:rsidRPr="0024684D">
        <w:rPr>
          <w:rFonts w:eastAsia="Calibri"/>
          <w:color w:val="000000" w:themeColor="text1"/>
          <w:sz w:val="28"/>
          <w:szCs w:val="28"/>
          <w:lang w:eastAsia="en-US"/>
        </w:rPr>
        <w:t xml:space="preserve">а </w:t>
      </w:r>
      <w:bookmarkStart w:id="4" w:name="_Hlk117154007"/>
      <w:r w:rsidR="00D10EC9">
        <w:rPr>
          <w:rFonts w:eastAsia="Calibri"/>
          <w:color w:val="000000" w:themeColor="text1"/>
          <w:sz w:val="28"/>
          <w:szCs w:val="28"/>
          <w:lang w:val="en-US" w:eastAsia="en-US"/>
        </w:rPr>
        <w:t>I</w:t>
      </w:r>
      <w:r w:rsidR="00466E22" w:rsidRPr="0024684D">
        <w:rPr>
          <w:rFonts w:eastAsia="Calibri"/>
          <w:color w:val="000000" w:themeColor="text1"/>
          <w:sz w:val="28"/>
          <w:szCs w:val="28"/>
          <w:lang w:eastAsia="en-US"/>
        </w:rPr>
        <w:t xml:space="preserve"> полугодие </w:t>
      </w:r>
      <w:bookmarkEnd w:id="4"/>
      <w:r w:rsidR="00466E22" w:rsidRPr="0024684D">
        <w:rPr>
          <w:rFonts w:eastAsia="Calibri"/>
          <w:color w:val="000000" w:themeColor="text1"/>
          <w:sz w:val="28"/>
          <w:szCs w:val="28"/>
          <w:lang w:eastAsia="en-US"/>
        </w:rPr>
        <w:t>2022 года на территории городского округа Тольятти по направлению «Предпринимательская деятельность» было заключено 5</w:t>
      </w:r>
      <w:r w:rsidR="00A52359" w:rsidRPr="0024684D">
        <w:rPr>
          <w:rFonts w:eastAsia="Calibri"/>
          <w:color w:val="000000" w:themeColor="text1"/>
          <w:sz w:val="28"/>
          <w:szCs w:val="28"/>
          <w:lang w:eastAsia="en-US"/>
        </w:rPr>
        <w:t>88</w:t>
      </w:r>
      <w:r w:rsidR="00466E22" w:rsidRPr="0024684D">
        <w:rPr>
          <w:rFonts w:eastAsia="Calibri"/>
          <w:color w:val="000000" w:themeColor="text1"/>
          <w:sz w:val="28"/>
          <w:szCs w:val="28"/>
          <w:lang w:eastAsia="en-US"/>
        </w:rPr>
        <w:t xml:space="preserve"> </w:t>
      </w:r>
      <w:r>
        <w:rPr>
          <w:rFonts w:eastAsia="Calibri"/>
          <w:color w:val="000000" w:themeColor="text1"/>
          <w:sz w:val="28"/>
          <w:szCs w:val="28"/>
          <w:lang w:eastAsia="en-US"/>
        </w:rPr>
        <w:t xml:space="preserve">государственных </w:t>
      </w:r>
      <w:r w:rsidR="00466E22" w:rsidRPr="0024684D">
        <w:rPr>
          <w:rFonts w:eastAsia="Calibri"/>
          <w:color w:val="000000" w:themeColor="text1"/>
          <w:sz w:val="28"/>
          <w:szCs w:val="28"/>
          <w:lang w:eastAsia="en-US"/>
        </w:rPr>
        <w:t xml:space="preserve">социальных контрактов на сумму </w:t>
      </w:r>
      <w:r w:rsidR="00A52359" w:rsidRPr="0024684D">
        <w:rPr>
          <w:rFonts w:eastAsia="Calibri"/>
          <w:color w:val="000000" w:themeColor="text1"/>
          <w:sz w:val="28"/>
          <w:szCs w:val="28"/>
          <w:lang w:eastAsia="en-US"/>
        </w:rPr>
        <w:t>125,9</w:t>
      </w:r>
      <w:r w:rsidR="00466E22" w:rsidRPr="0024684D">
        <w:rPr>
          <w:rFonts w:eastAsia="Calibri"/>
          <w:color w:val="000000" w:themeColor="text1"/>
          <w:sz w:val="28"/>
          <w:szCs w:val="28"/>
          <w:lang w:eastAsia="en-US"/>
        </w:rPr>
        <w:t xml:space="preserve"> млн. руб.</w:t>
      </w:r>
    </w:p>
    <w:p w:rsidR="00033342" w:rsidRPr="0024684D" w:rsidRDefault="00466E22" w:rsidP="0024684D">
      <w:pPr>
        <w:numPr>
          <w:ilvl w:val="0"/>
          <w:numId w:val="5"/>
        </w:numPr>
        <w:shd w:val="clear" w:color="auto" w:fill="FFFFFF"/>
        <w:spacing w:line="276" w:lineRule="auto"/>
        <w:ind w:left="0" w:firstLine="709"/>
        <w:rPr>
          <w:sz w:val="28"/>
          <w:szCs w:val="28"/>
        </w:rPr>
      </w:pPr>
      <w:r w:rsidRPr="0024684D">
        <w:rPr>
          <w:rFonts w:eastAsia="Calibri"/>
          <w:sz w:val="28"/>
          <w:szCs w:val="28"/>
          <w:lang w:eastAsia="ru-RU"/>
        </w:rPr>
        <w:t xml:space="preserve"> </w:t>
      </w:r>
      <w:r w:rsidRPr="0024684D">
        <w:rPr>
          <w:sz w:val="28"/>
          <w:szCs w:val="28"/>
        </w:rPr>
        <w:t xml:space="preserve">Продолжается реализация национального проекта «Малое и среднее предпринимательство и поддержка индивидуальной предпринимательской инициативы». Комплексная поддержка предоставляется предпринимателям в зависимости от стадии развития бизнеса – самозанятым, начинающим предпринимателям и гражданам, желающим начать свой бизнес, действующим компаниям, которые хотят развиваться. По итогам </w:t>
      </w:r>
      <w:r w:rsidR="00D10EC9">
        <w:rPr>
          <w:sz w:val="28"/>
          <w:szCs w:val="28"/>
          <w:lang w:val="en-US"/>
        </w:rPr>
        <w:t>I</w:t>
      </w:r>
      <w:r w:rsidR="00033342" w:rsidRPr="0024684D">
        <w:rPr>
          <w:sz w:val="28"/>
          <w:szCs w:val="28"/>
        </w:rPr>
        <w:t xml:space="preserve"> полугодия 2022 года в рамках реализации </w:t>
      </w:r>
      <w:r w:rsidRPr="0024684D">
        <w:rPr>
          <w:sz w:val="28"/>
          <w:szCs w:val="28"/>
        </w:rPr>
        <w:t xml:space="preserve">мероприятий </w:t>
      </w:r>
      <w:r w:rsidR="00033342" w:rsidRPr="0024684D">
        <w:rPr>
          <w:sz w:val="28"/>
          <w:szCs w:val="28"/>
        </w:rPr>
        <w:t>национального проекта</w:t>
      </w:r>
      <w:r w:rsidRPr="0024684D">
        <w:rPr>
          <w:sz w:val="28"/>
          <w:szCs w:val="28"/>
        </w:rPr>
        <w:t>:</w:t>
      </w:r>
      <w:r w:rsidR="00033342" w:rsidRPr="0024684D">
        <w:rPr>
          <w:sz w:val="28"/>
          <w:szCs w:val="28"/>
          <w:highlight w:val="yellow"/>
        </w:rPr>
        <w:t xml:space="preserve"> </w:t>
      </w:r>
    </w:p>
    <w:p w:rsidR="00466E22" w:rsidRPr="0024684D" w:rsidRDefault="00033342" w:rsidP="0024684D">
      <w:pPr>
        <w:numPr>
          <w:ilvl w:val="0"/>
          <w:numId w:val="5"/>
        </w:numPr>
        <w:shd w:val="clear" w:color="auto" w:fill="FFFFFF"/>
        <w:spacing w:line="276" w:lineRule="auto"/>
        <w:ind w:left="0" w:firstLine="709"/>
        <w:rPr>
          <w:sz w:val="28"/>
          <w:szCs w:val="28"/>
        </w:rPr>
      </w:pPr>
      <w:r w:rsidRPr="0024684D">
        <w:rPr>
          <w:sz w:val="28"/>
          <w:szCs w:val="28"/>
        </w:rPr>
        <w:t xml:space="preserve">- </w:t>
      </w:r>
      <w:r w:rsidR="00DB4BB3" w:rsidRPr="0024684D">
        <w:rPr>
          <w:sz w:val="28"/>
          <w:szCs w:val="28"/>
        </w:rPr>
        <w:t>1</w:t>
      </w:r>
      <w:r w:rsidR="005F00E6" w:rsidRPr="0024684D">
        <w:rPr>
          <w:sz w:val="28"/>
          <w:szCs w:val="28"/>
        </w:rPr>
        <w:t xml:space="preserve"> </w:t>
      </w:r>
      <w:r w:rsidR="00F57EA4" w:rsidRPr="0024684D">
        <w:rPr>
          <w:sz w:val="28"/>
          <w:szCs w:val="28"/>
        </w:rPr>
        <w:t>847</w:t>
      </w:r>
      <w:r w:rsidR="00DB4BB3" w:rsidRPr="0024684D">
        <w:rPr>
          <w:sz w:val="28"/>
          <w:szCs w:val="28"/>
        </w:rPr>
        <w:t xml:space="preserve"> СМСП </w:t>
      </w:r>
      <w:r w:rsidR="00DB4BB3" w:rsidRPr="0024684D">
        <w:rPr>
          <w:rFonts w:eastAsia="Calibri"/>
          <w:sz w:val="28"/>
          <w:szCs w:val="28"/>
          <w:lang w:eastAsia="ru-RU"/>
        </w:rPr>
        <w:t>предоставлены</w:t>
      </w:r>
      <w:r w:rsidRPr="0024684D">
        <w:rPr>
          <w:rFonts w:eastAsia="Calibri"/>
          <w:sz w:val="28"/>
          <w:szCs w:val="28"/>
          <w:lang w:eastAsia="ru-RU"/>
        </w:rPr>
        <w:t xml:space="preserve"> услуг</w:t>
      </w:r>
      <w:r w:rsidR="00DB4BB3" w:rsidRPr="0024684D">
        <w:rPr>
          <w:rFonts w:eastAsia="Calibri"/>
          <w:sz w:val="28"/>
          <w:szCs w:val="28"/>
          <w:lang w:eastAsia="ru-RU"/>
        </w:rPr>
        <w:t>и</w:t>
      </w:r>
      <w:r w:rsidRPr="0024684D">
        <w:rPr>
          <w:rFonts w:eastAsia="Calibri"/>
          <w:sz w:val="28"/>
          <w:szCs w:val="28"/>
          <w:lang w:eastAsia="ru-RU"/>
        </w:rPr>
        <w:t xml:space="preserve"> центр</w:t>
      </w:r>
      <w:r w:rsidR="00DB4BB3" w:rsidRPr="0024684D">
        <w:rPr>
          <w:rFonts w:eastAsia="Calibri"/>
          <w:sz w:val="28"/>
          <w:szCs w:val="28"/>
          <w:lang w:eastAsia="ru-RU"/>
        </w:rPr>
        <w:t>ом</w:t>
      </w:r>
      <w:r w:rsidRPr="0024684D">
        <w:rPr>
          <w:rFonts w:eastAsia="Calibri"/>
          <w:sz w:val="28"/>
          <w:szCs w:val="28"/>
          <w:lang w:eastAsia="ru-RU"/>
        </w:rPr>
        <w:t xml:space="preserve"> «Мой бизнес»</w:t>
      </w:r>
      <w:r w:rsidR="00DB4BB3" w:rsidRPr="0024684D">
        <w:rPr>
          <w:rFonts w:eastAsia="Calibri"/>
          <w:sz w:val="28"/>
          <w:szCs w:val="28"/>
          <w:lang w:eastAsia="ru-RU"/>
        </w:rPr>
        <w:t>;</w:t>
      </w:r>
    </w:p>
    <w:p w:rsidR="00DB4BB3" w:rsidRPr="0024684D" w:rsidRDefault="00F57EA4" w:rsidP="0024684D">
      <w:pPr>
        <w:numPr>
          <w:ilvl w:val="0"/>
          <w:numId w:val="5"/>
        </w:numPr>
        <w:spacing w:line="276" w:lineRule="auto"/>
        <w:ind w:left="0" w:firstLine="709"/>
        <w:rPr>
          <w:sz w:val="28"/>
          <w:szCs w:val="28"/>
        </w:rPr>
      </w:pPr>
      <w:r w:rsidRPr="0024684D">
        <w:rPr>
          <w:sz w:val="28"/>
          <w:szCs w:val="28"/>
        </w:rPr>
        <w:t>- 68</w:t>
      </w:r>
      <w:r w:rsidR="00DB4BB3" w:rsidRPr="0024684D">
        <w:rPr>
          <w:sz w:val="28"/>
          <w:szCs w:val="28"/>
        </w:rPr>
        <w:t xml:space="preserve">  СМСП получили услуги Центра поддержки экспорта (ЦПЭ). Объем поддержанного экспорта СМСП-экспортеров, заключивших экспортные контракты по результатам услуг ЦПЭ, составило </w:t>
      </w:r>
      <w:r w:rsidRPr="0024684D">
        <w:rPr>
          <w:sz w:val="28"/>
          <w:szCs w:val="28"/>
        </w:rPr>
        <w:t>26</w:t>
      </w:r>
      <w:r w:rsidR="005F00E6" w:rsidRPr="0024684D">
        <w:rPr>
          <w:sz w:val="28"/>
          <w:szCs w:val="28"/>
        </w:rPr>
        <w:t xml:space="preserve"> </w:t>
      </w:r>
      <w:r w:rsidRPr="0024684D">
        <w:rPr>
          <w:sz w:val="28"/>
          <w:szCs w:val="28"/>
        </w:rPr>
        <w:t>395,5</w:t>
      </w:r>
      <w:r w:rsidR="00DB4BB3" w:rsidRPr="0024684D">
        <w:rPr>
          <w:sz w:val="28"/>
          <w:szCs w:val="28"/>
        </w:rPr>
        <w:t xml:space="preserve"> тыс. долл;</w:t>
      </w:r>
    </w:p>
    <w:p w:rsidR="00DB4BB3" w:rsidRPr="0024684D" w:rsidRDefault="00DB4BB3" w:rsidP="0024684D">
      <w:pPr>
        <w:numPr>
          <w:ilvl w:val="0"/>
          <w:numId w:val="5"/>
        </w:numPr>
        <w:spacing w:line="276" w:lineRule="auto"/>
        <w:ind w:left="0" w:firstLine="709"/>
        <w:rPr>
          <w:sz w:val="28"/>
          <w:szCs w:val="28"/>
        </w:rPr>
      </w:pPr>
      <w:r w:rsidRPr="0024684D">
        <w:rPr>
          <w:sz w:val="28"/>
          <w:szCs w:val="28"/>
        </w:rPr>
        <w:t>- 38 заявок от СМСП</w:t>
      </w:r>
      <w:r w:rsidR="00AD53C2">
        <w:rPr>
          <w:sz w:val="28"/>
          <w:szCs w:val="28"/>
        </w:rPr>
        <w:t>,</w:t>
      </w:r>
      <w:r w:rsidRPr="0024684D">
        <w:rPr>
          <w:sz w:val="28"/>
          <w:szCs w:val="28"/>
        </w:rPr>
        <w:t xml:space="preserve"> заинтересованных в получении финансовой поддержки, направлено в АО микрокредитная компания «Гарантийный Фонд Самарской области»</w:t>
      </w:r>
      <w:r w:rsidR="00F57EA4" w:rsidRPr="0024684D">
        <w:rPr>
          <w:sz w:val="28"/>
          <w:szCs w:val="28"/>
        </w:rPr>
        <w:t>;</w:t>
      </w:r>
    </w:p>
    <w:p w:rsidR="00466E22" w:rsidRPr="0024684D" w:rsidRDefault="00466E22" w:rsidP="0024684D">
      <w:pPr>
        <w:numPr>
          <w:ilvl w:val="0"/>
          <w:numId w:val="5"/>
        </w:numPr>
        <w:spacing w:line="276" w:lineRule="auto"/>
        <w:ind w:left="0" w:firstLine="709"/>
        <w:rPr>
          <w:sz w:val="28"/>
          <w:szCs w:val="28"/>
        </w:rPr>
      </w:pPr>
      <w:r w:rsidRPr="0024684D">
        <w:rPr>
          <w:sz w:val="28"/>
          <w:szCs w:val="28"/>
        </w:rPr>
        <w:t xml:space="preserve">- </w:t>
      </w:r>
      <w:r w:rsidR="00F57EA4" w:rsidRPr="0024684D">
        <w:rPr>
          <w:sz w:val="28"/>
          <w:szCs w:val="28"/>
        </w:rPr>
        <w:t>8</w:t>
      </w:r>
      <w:r w:rsidRPr="0024684D">
        <w:rPr>
          <w:sz w:val="28"/>
          <w:szCs w:val="28"/>
        </w:rPr>
        <w:t xml:space="preserve"> СМСП</w:t>
      </w:r>
      <w:r w:rsidR="00DB4BB3" w:rsidRPr="0024684D">
        <w:rPr>
          <w:sz w:val="28"/>
          <w:szCs w:val="28"/>
        </w:rPr>
        <w:t xml:space="preserve"> приняло участие</w:t>
      </w:r>
      <w:r w:rsidRPr="0024684D">
        <w:rPr>
          <w:sz w:val="28"/>
          <w:szCs w:val="28"/>
        </w:rPr>
        <w:t xml:space="preserve"> </w:t>
      </w:r>
      <w:r w:rsidR="00DB4BB3" w:rsidRPr="0024684D">
        <w:rPr>
          <w:sz w:val="28"/>
          <w:szCs w:val="28"/>
        </w:rPr>
        <w:t>в</w:t>
      </w:r>
      <w:r w:rsidRPr="0024684D">
        <w:rPr>
          <w:sz w:val="28"/>
          <w:szCs w:val="28"/>
        </w:rPr>
        <w:t xml:space="preserve"> региональных предпринимательских конкурс</w:t>
      </w:r>
      <w:r w:rsidR="00DB4BB3" w:rsidRPr="0024684D">
        <w:rPr>
          <w:sz w:val="28"/>
          <w:szCs w:val="28"/>
        </w:rPr>
        <w:t>ах</w:t>
      </w:r>
      <w:r w:rsidRPr="0024684D">
        <w:rPr>
          <w:sz w:val="28"/>
          <w:szCs w:val="28"/>
        </w:rPr>
        <w:t>.</w:t>
      </w:r>
    </w:p>
    <w:p w:rsidR="00466E22" w:rsidRPr="0024684D" w:rsidRDefault="00466E22" w:rsidP="0024684D">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24684D">
        <w:rPr>
          <w:sz w:val="28"/>
          <w:szCs w:val="28"/>
        </w:rPr>
        <w:t xml:space="preserve">В регионе создана доступная и удобная инфраструктура поддержки предпринимателей, а именно: фонд «Региональный центр развития предпринимательства Самарской области» (информационная и консультационная поддержка),  АО Микрокредитная компания «Гарантийный фонд Самарской области» (льготное кредитование, микрозаймы и гарантийная поддержка),  центр поддержки экспорта Самарской области (поддержка экспортно-ориентированных компаний), ГКУ СО «Информационно-консалтинговое агентство Самарской области» (обучающие мероприятия, информационная и консультационная поддержка) и центр «Мой Бизнес», благодаря которому  тольяттинские предприниматели могут воспользоваться всеми мерами поддержки по принципу «одного окна». </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Центр «Мой бизнес», функционирующий на территории бизнес-инкубатора, оказывает следующие виды услуг:</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 информирование о тренингах по программам обучения АО «Корпорация «МСП»;</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 предоставление по заданным параметрам информации о формах и условиях финансовой поддержки субъектов малого и среднего предпринимательства;</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  предоставление информации об органах государственной власти,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 по регистрации на Портале Бизнес-навигатор МСП;</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466E22" w:rsidRPr="0024684D" w:rsidRDefault="00466E22" w:rsidP="0024684D">
      <w:pPr>
        <w:numPr>
          <w:ilvl w:val="0"/>
          <w:numId w:val="5"/>
        </w:numPr>
        <w:shd w:val="clear" w:color="auto" w:fill="FFFFFF"/>
        <w:spacing w:line="276" w:lineRule="auto"/>
        <w:ind w:left="0" w:firstLine="709"/>
        <w:rPr>
          <w:sz w:val="28"/>
          <w:szCs w:val="28"/>
        </w:rPr>
      </w:pPr>
      <w:r w:rsidRPr="0024684D">
        <w:rPr>
          <w:sz w:val="28"/>
          <w:szCs w:val="28"/>
        </w:rPr>
        <w:t>- по регистрации в мобильном приложении «Мой налог».</w:t>
      </w:r>
    </w:p>
    <w:p w:rsidR="00466E22" w:rsidRPr="0024684D" w:rsidRDefault="00466E22" w:rsidP="0024684D">
      <w:pPr>
        <w:pStyle w:val="afb"/>
        <w:numPr>
          <w:ilvl w:val="0"/>
          <w:numId w:val="5"/>
        </w:numPr>
        <w:shd w:val="clear" w:color="auto" w:fill="FFFFFF"/>
        <w:spacing w:line="276" w:lineRule="auto"/>
        <w:ind w:left="0" w:firstLine="709"/>
        <w:contextualSpacing/>
        <w:rPr>
          <w:sz w:val="28"/>
          <w:szCs w:val="28"/>
        </w:rPr>
      </w:pPr>
      <w:r w:rsidRPr="0024684D">
        <w:rPr>
          <w:sz w:val="28"/>
          <w:szCs w:val="28"/>
        </w:rPr>
        <w:t xml:space="preserve">Проводится работа по оказанию помощи и поддержки самозанятых граждан, занимающихся прикладным творчеством. На городских площадках организуются ярмарки-выставки. Все проведенные с начала года выставки были приурочены к социально значимым событиям города. В </w:t>
      </w:r>
      <w:r w:rsidR="00D10EC9">
        <w:rPr>
          <w:sz w:val="28"/>
          <w:szCs w:val="28"/>
          <w:lang w:val="en-US"/>
        </w:rPr>
        <w:t>I</w:t>
      </w:r>
      <w:r w:rsidRPr="0024684D">
        <w:rPr>
          <w:sz w:val="28"/>
          <w:szCs w:val="28"/>
        </w:rPr>
        <w:t xml:space="preserve"> полугодии 2022 года проведено 32 выставки-ярмарки, на которых были организованы 249 выставочных мест.</w:t>
      </w:r>
    </w:p>
    <w:p w:rsidR="00466E22" w:rsidRPr="0024684D" w:rsidRDefault="00466E22" w:rsidP="00AD53C2">
      <w:pPr>
        <w:pStyle w:val="afb"/>
        <w:numPr>
          <w:ilvl w:val="0"/>
          <w:numId w:val="5"/>
        </w:numPr>
        <w:shd w:val="clear" w:color="auto" w:fill="FFFFFF"/>
        <w:spacing w:after="120" w:line="276" w:lineRule="auto"/>
        <w:ind w:left="0" w:firstLine="709"/>
        <w:contextualSpacing/>
        <w:rPr>
          <w:rFonts w:eastAsia="Calibri"/>
          <w:sz w:val="28"/>
          <w:szCs w:val="28"/>
          <w:lang w:eastAsia="en-US"/>
        </w:rPr>
      </w:pPr>
      <w:r w:rsidRPr="0024684D">
        <w:rPr>
          <w:sz w:val="28"/>
          <w:szCs w:val="28"/>
        </w:rPr>
        <w:t xml:space="preserve">С целью расширения информационного поля для субъектов малого и среднего предпринимательства в городском округе Тольятти функционирует портал (www.biznes-63.ru), где регулярно публикуется информация о реализуемых в городском округе Тольятти мерах поддержки и порядках ее предоставления. Кроме того, информация размещается в социальных сетях </w:t>
      </w:r>
      <w:r w:rsidR="00AD53C2">
        <w:rPr>
          <w:sz w:val="28"/>
          <w:szCs w:val="28"/>
        </w:rPr>
        <w:t>МАУ</w:t>
      </w:r>
      <w:r w:rsidRPr="0024684D">
        <w:rPr>
          <w:sz w:val="28"/>
          <w:szCs w:val="28"/>
        </w:rPr>
        <w:t>«А</w:t>
      </w:r>
      <w:r w:rsidR="00AD53C2">
        <w:rPr>
          <w:sz w:val="28"/>
          <w:szCs w:val="28"/>
        </w:rPr>
        <w:t>ЭР</w:t>
      </w:r>
      <w:r w:rsidRPr="0024684D">
        <w:rPr>
          <w:sz w:val="28"/>
          <w:szCs w:val="28"/>
        </w:rPr>
        <w:t xml:space="preserve">» и на сайте администрации городского округа Тольятти. </w:t>
      </w:r>
      <w:r w:rsidRPr="0024684D">
        <w:rPr>
          <w:rFonts w:eastAsia="Calibri"/>
          <w:color w:val="000000" w:themeColor="text1"/>
          <w:sz w:val="28"/>
          <w:szCs w:val="28"/>
          <w:lang w:eastAsia="en-US"/>
        </w:rPr>
        <w:t xml:space="preserve">Количество посетителей сайтов: МАУ «АЭР» - 16 202 просмотра; социальные сети МАУ «АЭР» - свыше 33 500 уникальных посетителей; </w:t>
      </w:r>
      <w:r w:rsidRPr="0024684D">
        <w:rPr>
          <w:rFonts w:eastAsia="Calibri"/>
          <w:sz w:val="28"/>
          <w:szCs w:val="28"/>
          <w:lang w:eastAsia="en-US"/>
        </w:rPr>
        <w:t>администрация – 5 140 просмотров.</w:t>
      </w:r>
    </w:p>
    <w:p w:rsidR="00DC0D24" w:rsidRDefault="00DC0D24" w:rsidP="00AD53C2">
      <w:pPr>
        <w:pStyle w:val="3"/>
        <w:spacing w:after="120"/>
        <w:rPr>
          <w:sz w:val="28"/>
          <w:szCs w:val="28"/>
        </w:rPr>
      </w:pPr>
      <w:r w:rsidRPr="001F4DFC">
        <w:rPr>
          <w:sz w:val="28"/>
          <w:szCs w:val="28"/>
        </w:rPr>
        <w:t>Инвестиции в основной капитал</w:t>
      </w:r>
    </w:p>
    <w:p w:rsidR="00534B65" w:rsidRPr="0024684D" w:rsidRDefault="00534B65" w:rsidP="00AD53C2">
      <w:pPr>
        <w:widowControl w:val="0"/>
        <w:spacing w:line="276" w:lineRule="auto"/>
        <w:rPr>
          <w:sz w:val="28"/>
          <w:szCs w:val="28"/>
        </w:rPr>
      </w:pPr>
      <w:r w:rsidRPr="0024684D">
        <w:rPr>
          <w:sz w:val="28"/>
          <w:szCs w:val="28"/>
        </w:rPr>
        <w:t xml:space="preserve">На протяжении 2018-2021 годов в городском округе Тольятти наблюдался рост инвестиций в основной капитал. Так, в 2021 году объем инвестиций в основной капитал </w:t>
      </w:r>
      <w:r w:rsidR="00AD53C2" w:rsidRPr="0024684D">
        <w:rPr>
          <w:color w:val="000000"/>
          <w:sz w:val="28"/>
          <w:szCs w:val="28"/>
        </w:rPr>
        <w:t>по организациям, не относящимся к субъектам малого предпринимательства</w:t>
      </w:r>
      <w:r w:rsidR="00AD53C2">
        <w:rPr>
          <w:color w:val="000000"/>
          <w:sz w:val="28"/>
          <w:szCs w:val="28"/>
        </w:rPr>
        <w:t>,</w:t>
      </w:r>
      <w:r w:rsidR="00AD53C2" w:rsidRPr="0024684D">
        <w:rPr>
          <w:sz w:val="28"/>
          <w:szCs w:val="28"/>
        </w:rPr>
        <w:t xml:space="preserve"> </w:t>
      </w:r>
      <w:r w:rsidRPr="0024684D">
        <w:rPr>
          <w:sz w:val="28"/>
          <w:szCs w:val="28"/>
        </w:rPr>
        <w:t xml:space="preserve">предприятиям вырос на 24,9% к уровню 2020 года и составил 57 224,9 млн. руб. </w:t>
      </w:r>
    </w:p>
    <w:p w:rsidR="00534B65" w:rsidRPr="0024684D" w:rsidRDefault="00534B65" w:rsidP="00AD53C2">
      <w:pPr>
        <w:widowControl w:val="0"/>
        <w:spacing w:line="276" w:lineRule="auto"/>
        <w:rPr>
          <w:color w:val="000000"/>
          <w:sz w:val="28"/>
          <w:szCs w:val="28"/>
        </w:rPr>
      </w:pPr>
      <w:r w:rsidRPr="0024684D">
        <w:rPr>
          <w:color w:val="000000"/>
          <w:sz w:val="28"/>
          <w:szCs w:val="28"/>
        </w:rPr>
        <w:t xml:space="preserve">По итогам </w:t>
      </w:r>
      <w:r w:rsidR="00D10EC9">
        <w:rPr>
          <w:sz w:val="28"/>
          <w:szCs w:val="28"/>
          <w:lang w:val="en-US"/>
        </w:rPr>
        <w:t>I</w:t>
      </w:r>
      <w:r w:rsidRPr="0024684D">
        <w:rPr>
          <w:sz w:val="28"/>
          <w:szCs w:val="28"/>
        </w:rPr>
        <w:t xml:space="preserve"> полугодия 2022 года </w:t>
      </w:r>
      <w:r w:rsidRPr="0024684D">
        <w:rPr>
          <w:color w:val="000000"/>
          <w:sz w:val="28"/>
          <w:szCs w:val="28"/>
        </w:rPr>
        <w:t xml:space="preserve">объем инвестиций в основной капитал сохранился на уровне января-июня 2021 года и составил 23 462,1 млн. руб. (по </w:t>
      </w:r>
      <w:r w:rsidR="005210C6" w:rsidRPr="0024684D">
        <w:rPr>
          <w:color w:val="000000"/>
          <w:sz w:val="28"/>
          <w:szCs w:val="28"/>
        </w:rPr>
        <w:t>организациям</w:t>
      </w:r>
      <w:r w:rsidR="009A1CFB" w:rsidRPr="0024684D">
        <w:rPr>
          <w:color w:val="000000"/>
          <w:sz w:val="28"/>
          <w:szCs w:val="28"/>
        </w:rPr>
        <w:t>,</w:t>
      </w:r>
      <w:r w:rsidR="005210C6" w:rsidRPr="0024684D">
        <w:rPr>
          <w:color w:val="000000"/>
          <w:sz w:val="28"/>
          <w:szCs w:val="28"/>
        </w:rPr>
        <w:t xml:space="preserve"> </w:t>
      </w:r>
      <w:r w:rsidR="009A1CFB" w:rsidRPr="0024684D">
        <w:rPr>
          <w:color w:val="000000"/>
          <w:sz w:val="28"/>
          <w:szCs w:val="28"/>
        </w:rPr>
        <w:t>не относящимся к субъектам малого предпринимательства</w:t>
      </w:r>
      <w:r w:rsidRPr="0024684D">
        <w:rPr>
          <w:color w:val="000000"/>
          <w:sz w:val="28"/>
          <w:szCs w:val="28"/>
        </w:rPr>
        <w:t>).</w:t>
      </w:r>
    </w:p>
    <w:p w:rsidR="00534B65" w:rsidRPr="0024684D" w:rsidRDefault="00534B65" w:rsidP="0024684D">
      <w:pPr>
        <w:widowControl w:val="0"/>
        <w:spacing w:line="276" w:lineRule="auto"/>
        <w:rPr>
          <w:color w:val="000000"/>
          <w:sz w:val="28"/>
          <w:szCs w:val="28"/>
        </w:rPr>
      </w:pPr>
      <w:r w:rsidRPr="0024684D">
        <w:rPr>
          <w:color w:val="000000"/>
          <w:sz w:val="28"/>
          <w:szCs w:val="28"/>
        </w:rPr>
        <w:t xml:space="preserve">Вместе с тем, доля </w:t>
      </w:r>
      <w:r w:rsidR="00AD53C2">
        <w:rPr>
          <w:color w:val="000000"/>
          <w:sz w:val="28"/>
          <w:szCs w:val="28"/>
        </w:rPr>
        <w:t xml:space="preserve">городского округа </w:t>
      </w:r>
      <w:r w:rsidRPr="0024684D">
        <w:rPr>
          <w:color w:val="000000"/>
          <w:sz w:val="28"/>
          <w:szCs w:val="28"/>
        </w:rPr>
        <w:t>Тольятти в общем объеме инвестиций в основной капитал по Самарской области составила 22% (</w:t>
      </w:r>
      <w:r w:rsidR="00AD53C2">
        <w:rPr>
          <w:color w:val="000000"/>
          <w:sz w:val="28"/>
          <w:szCs w:val="28"/>
        </w:rPr>
        <w:t>второе</w:t>
      </w:r>
      <w:r w:rsidRPr="0024684D">
        <w:rPr>
          <w:color w:val="000000"/>
          <w:sz w:val="28"/>
          <w:szCs w:val="28"/>
        </w:rPr>
        <w:t xml:space="preserve"> место по Самарской области, </w:t>
      </w:r>
      <w:r w:rsidR="00AD53C2">
        <w:rPr>
          <w:color w:val="000000"/>
          <w:sz w:val="28"/>
          <w:szCs w:val="28"/>
        </w:rPr>
        <w:t>первое</w:t>
      </w:r>
      <w:r w:rsidRPr="0024684D">
        <w:rPr>
          <w:color w:val="000000"/>
          <w:sz w:val="28"/>
          <w:szCs w:val="28"/>
        </w:rPr>
        <w:t xml:space="preserve"> место – </w:t>
      </w:r>
      <w:r w:rsidR="00090253">
        <w:rPr>
          <w:color w:val="000000"/>
          <w:sz w:val="28"/>
          <w:szCs w:val="28"/>
        </w:rPr>
        <w:t>г.о.</w:t>
      </w:r>
      <w:r w:rsidRPr="0024684D">
        <w:rPr>
          <w:color w:val="000000"/>
          <w:sz w:val="28"/>
          <w:szCs w:val="28"/>
        </w:rPr>
        <w:t xml:space="preserve"> Самара). </w:t>
      </w:r>
    </w:p>
    <w:p w:rsidR="00534B65" w:rsidRPr="0024684D" w:rsidRDefault="00534B65" w:rsidP="0024684D">
      <w:pPr>
        <w:widowControl w:val="0"/>
        <w:spacing w:line="276" w:lineRule="auto"/>
        <w:rPr>
          <w:color w:val="000000"/>
          <w:sz w:val="28"/>
          <w:szCs w:val="28"/>
        </w:rPr>
      </w:pPr>
      <w:r w:rsidRPr="0024684D">
        <w:rPr>
          <w:color w:val="000000"/>
          <w:sz w:val="28"/>
          <w:szCs w:val="28"/>
        </w:rPr>
        <w:t xml:space="preserve"> В расчете на душу населения городск</w:t>
      </w:r>
      <w:r w:rsidR="006E07E8" w:rsidRPr="0024684D">
        <w:rPr>
          <w:color w:val="000000"/>
          <w:sz w:val="28"/>
          <w:szCs w:val="28"/>
        </w:rPr>
        <w:t xml:space="preserve">ой округ Тольятти занял </w:t>
      </w:r>
      <w:r w:rsidR="00AD53C2">
        <w:rPr>
          <w:color w:val="000000"/>
          <w:sz w:val="28"/>
          <w:szCs w:val="28"/>
        </w:rPr>
        <w:t>пятое</w:t>
      </w:r>
      <w:r w:rsidR="006E07E8" w:rsidRPr="0024684D">
        <w:rPr>
          <w:color w:val="000000"/>
          <w:sz w:val="28"/>
          <w:szCs w:val="28"/>
        </w:rPr>
        <w:t xml:space="preserve"> место</w:t>
      </w:r>
      <w:r w:rsidR="00AD53C2">
        <w:rPr>
          <w:color w:val="000000"/>
          <w:sz w:val="28"/>
          <w:szCs w:val="28"/>
        </w:rPr>
        <w:t xml:space="preserve"> </w:t>
      </w:r>
      <w:r w:rsidRPr="0024684D">
        <w:rPr>
          <w:color w:val="000000"/>
          <w:sz w:val="28"/>
          <w:szCs w:val="28"/>
        </w:rPr>
        <w:t>– 34 220 рублей на человека (впереди г.о. Похвистнево, г.о Отрадный, г.о. Новокуйбышевск, г.о. Чапаевск за счет малочисленности населения по сравнению с г.о. Тольятти и г.о. Самара).</w:t>
      </w:r>
    </w:p>
    <w:p w:rsidR="00534B65" w:rsidRPr="0024684D" w:rsidRDefault="00534B65" w:rsidP="0024684D">
      <w:pPr>
        <w:pStyle w:val="aff0"/>
        <w:spacing w:line="276" w:lineRule="auto"/>
        <w:rPr>
          <w:szCs w:val="28"/>
          <w:highlight w:val="yellow"/>
          <w:shd w:val="clear" w:color="auto" w:fill="FFFFFF"/>
        </w:rPr>
      </w:pPr>
      <w:r w:rsidRPr="0024684D">
        <w:rPr>
          <w:szCs w:val="28"/>
          <w:shd w:val="clear" w:color="auto" w:fill="FFFFFF"/>
        </w:rPr>
        <w:t xml:space="preserve">В январе-июне 2022 года </w:t>
      </w:r>
      <w:r w:rsidRPr="0024684D">
        <w:rPr>
          <w:rFonts w:eastAsiaTheme="minorEastAsia"/>
          <w:szCs w:val="28"/>
          <w:lang w:eastAsia="ru-RU"/>
        </w:rPr>
        <w:t>в рейтинге 15 городов Приволжского федерального округа городской округ Тольятти занял 6 место в расчете показателя на душу населения (г.о. Самара - на 9 месте).</w:t>
      </w:r>
    </w:p>
    <w:p w:rsidR="00534B65" w:rsidRPr="0024684D" w:rsidRDefault="00534B65" w:rsidP="0024684D">
      <w:pPr>
        <w:pStyle w:val="aff0"/>
        <w:spacing w:line="276" w:lineRule="auto"/>
        <w:rPr>
          <w:szCs w:val="28"/>
          <w:shd w:val="clear" w:color="auto" w:fill="FFFFFF"/>
        </w:rPr>
      </w:pPr>
      <w:r w:rsidRPr="0024684D">
        <w:rPr>
          <w:szCs w:val="28"/>
          <w:shd w:val="clear" w:color="auto" w:fill="FFFFFF"/>
        </w:rPr>
        <w:t xml:space="preserve">Основной источник финансирования инвестиций в </w:t>
      </w:r>
      <w:r w:rsidR="00D10EC9">
        <w:rPr>
          <w:szCs w:val="28"/>
          <w:shd w:val="clear" w:color="auto" w:fill="FFFFFF"/>
          <w:lang w:val="en-US"/>
        </w:rPr>
        <w:t>I</w:t>
      </w:r>
      <w:r w:rsidRPr="0024684D">
        <w:rPr>
          <w:szCs w:val="28"/>
          <w:shd w:val="clear" w:color="auto" w:fill="FFFFFF"/>
        </w:rPr>
        <w:t xml:space="preserve"> полугодии 2022 года – собственные средства, их доля в отчетном периоде составила 81,1% от общего объема инвестиций (в </w:t>
      </w:r>
      <w:r w:rsidR="00D10EC9">
        <w:rPr>
          <w:szCs w:val="28"/>
          <w:shd w:val="clear" w:color="auto" w:fill="FFFFFF"/>
          <w:lang w:val="en-US"/>
        </w:rPr>
        <w:t>I</w:t>
      </w:r>
      <w:r w:rsidRPr="0024684D">
        <w:rPr>
          <w:szCs w:val="28"/>
          <w:shd w:val="clear" w:color="auto" w:fill="FFFFFF"/>
        </w:rPr>
        <w:t xml:space="preserve"> полугодии 2021 года – 53,3%).  Привлеченные средства составили в отчетном периоде 1</w:t>
      </w:r>
      <w:r w:rsidR="00AA2C95" w:rsidRPr="0024684D">
        <w:rPr>
          <w:szCs w:val="28"/>
          <w:shd w:val="clear" w:color="auto" w:fill="FFFFFF"/>
        </w:rPr>
        <w:t>8</w:t>
      </w:r>
      <w:r w:rsidRPr="0024684D">
        <w:rPr>
          <w:szCs w:val="28"/>
          <w:shd w:val="clear" w:color="auto" w:fill="FFFFFF"/>
        </w:rPr>
        <w:t>,9% к общему объему инвестиций в основной капитал (в январе-июне 2021 – 46,7%).</w:t>
      </w:r>
    </w:p>
    <w:p w:rsidR="00534B65" w:rsidRPr="0024684D" w:rsidRDefault="00534B65" w:rsidP="0024684D">
      <w:pPr>
        <w:pStyle w:val="aff0"/>
        <w:spacing w:line="276" w:lineRule="auto"/>
        <w:rPr>
          <w:szCs w:val="28"/>
          <w:shd w:val="clear" w:color="auto" w:fill="FFFFFF"/>
        </w:rPr>
      </w:pPr>
      <w:r w:rsidRPr="0024684D">
        <w:rPr>
          <w:szCs w:val="28"/>
          <w:shd w:val="clear" w:color="auto" w:fill="FFFFFF"/>
        </w:rPr>
        <w:t>На долю предприятий оптовой и розничной торговли пришлось 3</w:t>
      </w:r>
      <w:r w:rsidR="005D5122" w:rsidRPr="0024684D">
        <w:rPr>
          <w:szCs w:val="28"/>
          <w:shd w:val="clear" w:color="auto" w:fill="FFFFFF"/>
        </w:rPr>
        <w:t>,6</w:t>
      </w:r>
      <w:r w:rsidRPr="0024684D">
        <w:rPr>
          <w:szCs w:val="28"/>
          <w:shd w:val="clear" w:color="auto" w:fill="FFFFFF"/>
        </w:rPr>
        <w:t>% инвестиций (</w:t>
      </w:r>
      <w:r w:rsidR="005D5122" w:rsidRPr="0024684D">
        <w:rPr>
          <w:szCs w:val="28"/>
          <w:shd w:val="clear" w:color="auto" w:fill="FFFFFF"/>
        </w:rPr>
        <w:t>837,1</w:t>
      </w:r>
      <w:r w:rsidRPr="0024684D">
        <w:rPr>
          <w:szCs w:val="28"/>
          <w:shd w:val="clear" w:color="auto" w:fill="FFFFFF"/>
        </w:rPr>
        <w:t xml:space="preserve"> млн. руб</w:t>
      </w:r>
      <w:r w:rsidR="000A5A2E" w:rsidRPr="0024684D">
        <w:rPr>
          <w:szCs w:val="28"/>
          <w:shd w:val="clear" w:color="auto" w:fill="FFFFFF"/>
        </w:rPr>
        <w:t>.</w:t>
      </w:r>
      <w:r w:rsidRPr="0024684D">
        <w:rPr>
          <w:szCs w:val="28"/>
          <w:shd w:val="clear" w:color="auto" w:fill="FFFFFF"/>
        </w:rPr>
        <w:t>); на обеспечение электрической энергией, газом, паром – 1,</w:t>
      </w:r>
      <w:r w:rsidR="005D5122" w:rsidRPr="0024684D">
        <w:rPr>
          <w:szCs w:val="28"/>
          <w:shd w:val="clear" w:color="auto" w:fill="FFFFFF"/>
        </w:rPr>
        <w:t>9</w:t>
      </w:r>
      <w:r w:rsidRPr="0024684D">
        <w:rPr>
          <w:szCs w:val="28"/>
          <w:shd w:val="clear" w:color="auto" w:fill="FFFFFF"/>
        </w:rPr>
        <w:t>% (</w:t>
      </w:r>
      <w:r w:rsidR="005D5122" w:rsidRPr="0024684D">
        <w:rPr>
          <w:szCs w:val="28"/>
          <w:shd w:val="clear" w:color="auto" w:fill="FFFFFF"/>
        </w:rPr>
        <w:t>438,0</w:t>
      </w:r>
      <w:r w:rsidRPr="0024684D">
        <w:rPr>
          <w:szCs w:val="28"/>
          <w:shd w:val="clear" w:color="auto" w:fill="FFFFFF"/>
        </w:rPr>
        <w:t xml:space="preserve"> млн. руб</w:t>
      </w:r>
      <w:r w:rsidR="000A5A2E" w:rsidRPr="0024684D">
        <w:rPr>
          <w:szCs w:val="28"/>
          <w:shd w:val="clear" w:color="auto" w:fill="FFFFFF"/>
        </w:rPr>
        <w:t>.</w:t>
      </w:r>
      <w:r w:rsidRPr="0024684D">
        <w:rPr>
          <w:szCs w:val="28"/>
          <w:shd w:val="clear" w:color="auto" w:fill="FFFFFF"/>
        </w:rPr>
        <w:t>); водоснабжение, водоотведение, сбор и утилизацию отходов – 1,</w:t>
      </w:r>
      <w:r w:rsidR="005D5122" w:rsidRPr="0024684D">
        <w:rPr>
          <w:szCs w:val="28"/>
          <w:shd w:val="clear" w:color="auto" w:fill="FFFFFF"/>
        </w:rPr>
        <w:t>1</w:t>
      </w:r>
      <w:r w:rsidRPr="0024684D">
        <w:rPr>
          <w:szCs w:val="28"/>
          <w:shd w:val="clear" w:color="auto" w:fill="FFFFFF"/>
        </w:rPr>
        <w:t>% (</w:t>
      </w:r>
      <w:r w:rsidR="005D5122" w:rsidRPr="0024684D">
        <w:rPr>
          <w:szCs w:val="28"/>
          <w:shd w:val="clear" w:color="auto" w:fill="FFFFFF"/>
        </w:rPr>
        <w:t>250,1</w:t>
      </w:r>
      <w:r w:rsidRPr="0024684D">
        <w:rPr>
          <w:szCs w:val="28"/>
          <w:shd w:val="clear" w:color="auto" w:fill="FFFFFF"/>
        </w:rPr>
        <w:t xml:space="preserve"> млн. руб</w:t>
      </w:r>
      <w:r w:rsidR="000A5A2E" w:rsidRPr="0024684D">
        <w:rPr>
          <w:szCs w:val="28"/>
          <w:shd w:val="clear" w:color="auto" w:fill="FFFFFF"/>
        </w:rPr>
        <w:t>.</w:t>
      </w:r>
      <w:r w:rsidRPr="0024684D">
        <w:rPr>
          <w:szCs w:val="28"/>
          <w:shd w:val="clear" w:color="auto" w:fill="FFFFFF"/>
        </w:rPr>
        <w:t>).</w:t>
      </w:r>
      <w:r w:rsidR="000276A2" w:rsidRPr="0024684D">
        <w:rPr>
          <w:szCs w:val="28"/>
          <w:shd w:val="clear" w:color="auto" w:fill="FFFFFF"/>
        </w:rPr>
        <w:t xml:space="preserve"> На профессиональную научную и техническую деятельность направлено 2,1 млрд. руб. инвестиций в основной капитал (9% от общего объема инвестиций).</w:t>
      </w:r>
    </w:p>
    <w:p w:rsidR="00B00ECF" w:rsidRPr="0024684D" w:rsidRDefault="00B00ECF" w:rsidP="0024684D">
      <w:pPr>
        <w:pStyle w:val="aff0"/>
        <w:spacing w:line="276" w:lineRule="auto"/>
        <w:rPr>
          <w:szCs w:val="28"/>
          <w:shd w:val="clear" w:color="auto" w:fill="FFFFFF"/>
        </w:rPr>
      </w:pPr>
      <w:r w:rsidRPr="0024684D">
        <w:rPr>
          <w:szCs w:val="28"/>
        </w:rPr>
        <w:t>Более 77% всех инвестиций пришлось на обрабатывающие производства</w:t>
      </w:r>
      <w:r w:rsidR="00D250F4">
        <w:rPr>
          <w:szCs w:val="28"/>
        </w:rPr>
        <w:t>.</w:t>
      </w:r>
      <w:r w:rsidRPr="0024684D">
        <w:rPr>
          <w:szCs w:val="28"/>
        </w:rPr>
        <w:t xml:space="preserve"> </w:t>
      </w:r>
      <w:r w:rsidR="00D250F4">
        <w:rPr>
          <w:szCs w:val="28"/>
        </w:rPr>
        <w:t>О</w:t>
      </w:r>
      <w:r w:rsidRPr="0024684D">
        <w:rPr>
          <w:szCs w:val="28"/>
        </w:rPr>
        <w:t xml:space="preserve">тмечено снижение в автомобилестроении </w:t>
      </w:r>
      <w:r w:rsidR="00D250F4">
        <w:rPr>
          <w:szCs w:val="28"/>
        </w:rPr>
        <w:t xml:space="preserve">- </w:t>
      </w:r>
      <w:r w:rsidRPr="0024684D">
        <w:rPr>
          <w:szCs w:val="28"/>
        </w:rPr>
        <w:t>на 5,1% до 8 159,5 млн. руб., а также на крупнейших химических предприятиях города -  на 18,1% до 8 921,1 млн. руб.</w:t>
      </w:r>
    </w:p>
    <w:p w:rsidR="00534B65" w:rsidRPr="0024684D" w:rsidRDefault="00534B65" w:rsidP="0024684D">
      <w:pPr>
        <w:widowControl w:val="0"/>
        <w:tabs>
          <w:tab w:val="num" w:pos="0"/>
        </w:tabs>
        <w:spacing w:line="276" w:lineRule="auto"/>
        <w:rPr>
          <w:rFonts w:eastAsia="Calibri"/>
          <w:spacing w:val="-2"/>
          <w:sz w:val="28"/>
          <w:szCs w:val="28"/>
        </w:rPr>
      </w:pPr>
      <w:r w:rsidRPr="0024684D">
        <w:rPr>
          <w:rFonts w:eastAsia="Calibri"/>
          <w:sz w:val="28"/>
          <w:szCs w:val="28"/>
        </w:rPr>
        <w:t xml:space="preserve">В условиях неопределенности производственных планов и дефицита комплектующих реализация инвестиционных проектов будет направлена на </w:t>
      </w:r>
      <w:r w:rsidRPr="0024684D">
        <w:rPr>
          <w:rFonts w:eastAsia="Calibri"/>
          <w:spacing w:val="-2"/>
          <w:sz w:val="28"/>
          <w:szCs w:val="28"/>
        </w:rPr>
        <w:t xml:space="preserve">развитие импортозамещающих производств. </w:t>
      </w:r>
    </w:p>
    <w:p w:rsidR="00534B65" w:rsidRPr="0024684D" w:rsidRDefault="00534B65" w:rsidP="0024684D">
      <w:pPr>
        <w:widowControl w:val="0"/>
        <w:spacing w:line="276" w:lineRule="auto"/>
        <w:rPr>
          <w:sz w:val="28"/>
          <w:szCs w:val="28"/>
        </w:rPr>
      </w:pPr>
      <w:bookmarkStart w:id="5" w:name="_Hlk112067669"/>
      <w:r w:rsidRPr="0024684D">
        <w:rPr>
          <w:sz w:val="28"/>
          <w:szCs w:val="28"/>
        </w:rPr>
        <w:t xml:space="preserve">На ПАО «Куйбышевазот» в январе-июне 2022 года </w:t>
      </w:r>
      <w:bookmarkEnd w:id="5"/>
      <w:r w:rsidRPr="0024684D">
        <w:rPr>
          <w:sz w:val="28"/>
          <w:szCs w:val="28"/>
        </w:rPr>
        <w:t>продолж</w:t>
      </w:r>
      <w:r w:rsidR="001C166E">
        <w:rPr>
          <w:sz w:val="28"/>
          <w:szCs w:val="28"/>
        </w:rPr>
        <w:t xml:space="preserve">илась </w:t>
      </w:r>
      <w:r w:rsidRPr="0024684D">
        <w:rPr>
          <w:sz w:val="28"/>
          <w:szCs w:val="28"/>
        </w:rPr>
        <w:t>реализация проектов по техническому перевооружению, модернизации действующих мощностей и строительству новых. Инвестиционные проекты направлены на обеспечение перспективного развития предприятия, сокращение потребления сырья, тепло- и энергоресурсов, снижение воздействия производства на окружающую среду, а также сохранение рыночных позиций компании в условиях усиливающейся конкуренции.</w:t>
      </w:r>
    </w:p>
    <w:p w:rsidR="00534B65" w:rsidRPr="0024684D" w:rsidRDefault="00534B65" w:rsidP="001C166E">
      <w:pPr>
        <w:tabs>
          <w:tab w:val="num" w:pos="0"/>
        </w:tabs>
        <w:spacing w:line="276" w:lineRule="auto"/>
        <w:rPr>
          <w:sz w:val="28"/>
          <w:szCs w:val="28"/>
        </w:rPr>
      </w:pPr>
      <w:bookmarkStart w:id="6" w:name="_Hlk112068654"/>
      <w:r w:rsidRPr="0024684D">
        <w:rPr>
          <w:sz w:val="28"/>
          <w:szCs w:val="28"/>
        </w:rPr>
        <w:t>В текущем году планируется завершение следующих крупных инвестиционных проектов предприятия</w:t>
      </w:r>
      <w:bookmarkEnd w:id="6"/>
      <w:r w:rsidRPr="0024684D">
        <w:rPr>
          <w:sz w:val="28"/>
          <w:szCs w:val="28"/>
        </w:rPr>
        <w:t>:</w:t>
      </w:r>
    </w:p>
    <w:p w:rsidR="00534B65" w:rsidRPr="0024684D" w:rsidRDefault="00534B65" w:rsidP="001C166E">
      <w:pPr>
        <w:tabs>
          <w:tab w:val="num" w:pos="0"/>
        </w:tabs>
        <w:spacing w:line="276" w:lineRule="auto"/>
        <w:rPr>
          <w:sz w:val="28"/>
          <w:szCs w:val="28"/>
        </w:rPr>
      </w:pPr>
      <w:r w:rsidRPr="0024684D">
        <w:rPr>
          <w:sz w:val="28"/>
          <w:szCs w:val="28"/>
        </w:rPr>
        <w:t>- строительство очистных сооружений «Копань» в целях снижения антропогенной нагрузки на Саратовское водохранилище от сточных вод предприятий Северного промузла и части жилой зоны Центрального района г. Тольятти;</w:t>
      </w:r>
    </w:p>
    <w:p w:rsidR="00534B65" w:rsidRPr="0024684D" w:rsidRDefault="00534B65" w:rsidP="001C166E">
      <w:pPr>
        <w:tabs>
          <w:tab w:val="num" w:pos="0"/>
        </w:tabs>
        <w:spacing w:line="276" w:lineRule="auto"/>
        <w:rPr>
          <w:sz w:val="28"/>
          <w:szCs w:val="28"/>
        </w:rPr>
      </w:pPr>
      <w:r w:rsidRPr="0024684D">
        <w:rPr>
          <w:sz w:val="28"/>
          <w:szCs w:val="28"/>
        </w:rPr>
        <w:t>- строительство нового энергоэффективного агрегата карбамида мощностью 1 500 т/сутки (в режиме SPV, создана компания ООО «Волгаферт») с целью увеличения объемов производства и повышения безопасности технологического процесса за счет применения наиболее современных технологий, оборудования и системы управления технологическим процессом;</w:t>
      </w:r>
    </w:p>
    <w:p w:rsidR="00534B65" w:rsidRPr="0024684D" w:rsidRDefault="00534B65" w:rsidP="001C166E">
      <w:pPr>
        <w:tabs>
          <w:tab w:val="num" w:pos="0"/>
        </w:tabs>
        <w:spacing w:line="276" w:lineRule="auto"/>
        <w:rPr>
          <w:sz w:val="28"/>
          <w:szCs w:val="28"/>
        </w:rPr>
      </w:pPr>
      <w:r w:rsidRPr="0024684D">
        <w:rPr>
          <w:sz w:val="28"/>
          <w:szCs w:val="28"/>
        </w:rPr>
        <w:t>- строительство комплекса по производству азотной кислоты и нитрата аммония (I этап) в целях повышения безопасности технологического процесса, снижения расходных коэффициентов по энергетике и уменьшения удельных выбросов на тонну продукта.</w:t>
      </w:r>
    </w:p>
    <w:p w:rsidR="00534B65" w:rsidRPr="0024684D" w:rsidRDefault="00534B65" w:rsidP="0024684D">
      <w:pPr>
        <w:widowControl w:val="0"/>
        <w:spacing w:line="276" w:lineRule="auto"/>
        <w:rPr>
          <w:sz w:val="28"/>
          <w:szCs w:val="28"/>
        </w:rPr>
      </w:pPr>
      <w:r w:rsidRPr="0024684D">
        <w:rPr>
          <w:sz w:val="28"/>
          <w:szCs w:val="28"/>
        </w:rPr>
        <w:t xml:space="preserve">   На ПАО «Тольяттиазот» продолжается реализация инвестиционного проекта по строительству агрегата карбамида в размере более 30 млрд. руб. Проект направлен на увеличение производственных мощностей: производство карбамида, реконструкция железнодорожного транспортного узла, закупка парка цистерн.</w:t>
      </w:r>
    </w:p>
    <w:p w:rsidR="00534B65" w:rsidRPr="0024684D" w:rsidRDefault="00534B65" w:rsidP="0024684D">
      <w:pPr>
        <w:spacing w:line="276" w:lineRule="auto"/>
        <w:rPr>
          <w:sz w:val="28"/>
          <w:szCs w:val="28"/>
        </w:rPr>
      </w:pPr>
      <w:r w:rsidRPr="0024684D">
        <w:rPr>
          <w:sz w:val="28"/>
          <w:szCs w:val="28"/>
        </w:rPr>
        <w:t xml:space="preserve">В </w:t>
      </w:r>
      <w:r w:rsidR="00A200BB">
        <w:rPr>
          <w:sz w:val="28"/>
          <w:szCs w:val="28"/>
          <w:lang w:val="en-US"/>
        </w:rPr>
        <w:t>I</w:t>
      </w:r>
      <w:r w:rsidRPr="0024684D">
        <w:rPr>
          <w:sz w:val="28"/>
          <w:szCs w:val="28"/>
        </w:rPr>
        <w:t xml:space="preserve"> полугодии 2022 года на ООО «Тольяттикаучук» отмечено снижение инвестиций в основной капитал в связи с завершением одного из крупных инвестиционных проектов по реконструкции установки метил-трет-бутилового эфира для производства изобутан-изобутиленовой фракции по новой технологичной схеме.</w:t>
      </w:r>
      <w:r w:rsidR="000B6B8A" w:rsidRPr="0024684D">
        <w:rPr>
          <w:sz w:val="28"/>
          <w:szCs w:val="28"/>
        </w:rPr>
        <w:t xml:space="preserve"> </w:t>
      </w:r>
      <w:r w:rsidRPr="0024684D">
        <w:rPr>
          <w:sz w:val="28"/>
          <w:szCs w:val="28"/>
        </w:rPr>
        <w:t>В текущем году на предприятии начата реализация</w:t>
      </w:r>
      <w:r w:rsidR="00A200BB">
        <w:rPr>
          <w:sz w:val="28"/>
          <w:szCs w:val="28"/>
        </w:rPr>
        <w:t xml:space="preserve"> новых</w:t>
      </w:r>
      <w:r w:rsidRPr="0024684D">
        <w:rPr>
          <w:sz w:val="28"/>
          <w:szCs w:val="28"/>
        </w:rPr>
        <w:t xml:space="preserve"> инвестиционных проектов.</w:t>
      </w:r>
    </w:p>
    <w:p w:rsidR="001C166E" w:rsidRPr="0024684D" w:rsidRDefault="001C166E" w:rsidP="001C166E">
      <w:pPr>
        <w:widowControl w:val="0"/>
        <w:tabs>
          <w:tab w:val="num" w:pos="0"/>
        </w:tabs>
        <w:spacing w:line="276" w:lineRule="auto"/>
        <w:rPr>
          <w:rFonts w:eastAsia="Calibri"/>
          <w:sz w:val="28"/>
          <w:szCs w:val="28"/>
        </w:rPr>
      </w:pPr>
      <w:r w:rsidRPr="0024684D">
        <w:rPr>
          <w:sz w:val="28"/>
          <w:szCs w:val="28"/>
          <w:lang w:eastAsia="ar-SA"/>
        </w:rPr>
        <w:t xml:space="preserve">В январе-июне 2022 года на АО «АВТОВАЗ» продолжалась реализация инвестиционных проектов в рамках специального инвестиционного контракта с целью расширения локализации материалов, деталей и комплектующих, внедрения новых технологий, развития научно-исследовательской деятельности. </w:t>
      </w:r>
    </w:p>
    <w:p w:rsidR="00534B65" w:rsidRPr="0024684D" w:rsidRDefault="00A200BB" w:rsidP="0024684D">
      <w:pPr>
        <w:spacing w:line="276" w:lineRule="auto"/>
        <w:rPr>
          <w:sz w:val="28"/>
          <w:szCs w:val="28"/>
        </w:rPr>
      </w:pPr>
      <w:r>
        <w:rPr>
          <w:color w:val="000000"/>
          <w:sz w:val="28"/>
          <w:szCs w:val="28"/>
        </w:rPr>
        <w:t>В целом, п</w:t>
      </w:r>
      <w:r w:rsidR="00534B65" w:rsidRPr="0024684D">
        <w:rPr>
          <w:color w:val="000000"/>
          <w:sz w:val="28"/>
          <w:szCs w:val="28"/>
        </w:rPr>
        <w:t>о итогам 2022 года</w:t>
      </w:r>
      <w:r>
        <w:rPr>
          <w:color w:val="000000"/>
          <w:sz w:val="28"/>
          <w:szCs w:val="28"/>
        </w:rPr>
        <w:t>,</w:t>
      </w:r>
      <w:r w:rsidR="00534B65" w:rsidRPr="0024684D">
        <w:rPr>
          <w:color w:val="000000"/>
          <w:sz w:val="28"/>
          <w:szCs w:val="28"/>
        </w:rPr>
        <w:t xml:space="preserve"> </w:t>
      </w:r>
      <w:r>
        <w:rPr>
          <w:sz w:val="28"/>
          <w:szCs w:val="28"/>
        </w:rPr>
        <w:t>о</w:t>
      </w:r>
      <w:r w:rsidRPr="0024684D">
        <w:rPr>
          <w:sz w:val="28"/>
          <w:szCs w:val="28"/>
        </w:rPr>
        <w:t xml:space="preserve">жидается снижение </w:t>
      </w:r>
      <w:r>
        <w:rPr>
          <w:sz w:val="28"/>
          <w:szCs w:val="28"/>
        </w:rPr>
        <w:t xml:space="preserve">на 5% </w:t>
      </w:r>
      <w:r w:rsidRPr="0024684D">
        <w:rPr>
          <w:sz w:val="28"/>
          <w:szCs w:val="28"/>
        </w:rPr>
        <w:t xml:space="preserve">инвестиций </w:t>
      </w:r>
      <w:r>
        <w:rPr>
          <w:sz w:val="28"/>
          <w:szCs w:val="28"/>
        </w:rPr>
        <w:t xml:space="preserve">в основной капитал </w:t>
      </w:r>
      <w:r w:rsidRPr="0024684D">
        <w:rPr>
          <w:color w:val="000000"/>
          <w:sz w:val="28"/>
          <w:szCs w:val="28"/>
        </w:rPr>
        <w:t>наиболее инвестиционноёмких отраслей промышленности городского округа – автомобилестроения и химического производства</w:t>
      </w:r>
      <w:r w:rsidR="00534B65" w:rsidRPr="0024684D">
        <w:rPr>
          <w:color w:val="000000"/>
          <w:sz w:val="28"/>
          <w:szCs w:val="28"/>
        </w:rPr>
        <w:t>.</w:t>
      </w:r>
      <w:r w:rsidR="00534B65" w:rsidRPr="0024684D">
        <w:rPr>
          <w:sz w:val="28"/>
          <w:szCs w:val="28"/>
        </w:rPr>
        <w:t xml:space="preserve"> </w:t>
      </w:r>
    </w:p>
    <w:p w:rsidR="00534B65" w:rsidRPr="0024684D" w:rsidRDefault="00534B65" w:rsidP="0024684D">
      <w:pPr>
        <w:widowControl w:val="0"/>
        <w:tabs>
          <w:tab w:val="left" w:pos="851"/>
          <w:tab w:val="left" w:pos="993"/>
        </w:tabs>
        <w:spacing w:line="276" w:lineRule="auto"/>
        <w:rPr>
          <w:sz w:val="28"/>
          <w:szCs w:val="28"/>
        </w:rPr>
      </w:pPr>
      <w:r w:rsidRPr="0024684D">
        <w:rPr>
          <w:sz w:val="28"/>
          <w:szCs w:val="28"/>
          <w:lang w:eastAsia="ar-SA"/>
        </w:rPr>
        <w:t xml:space="preserve">Важную роль в повышении привлекательности городского округа Тольятти как места для вложения инвестиций и ведения бизнеса оказывает </w:t>
      </w:r>
      <w:r w:rsidRPr="0024684D">
        <w:rPr>
          <w:sz w:val="28"/>
          <w:szCs w:val="28"/>
        </w:rPr>
        <w:t>реализация проекта территории опережающего социально-экономического развития (ТОСЭР «Тольятти»). Резидентам ТОСЭР «Тольятти» предоставляются льготные ставки по налогу на прибыль, освобождение от налога на имущество и налога на землю, существенно низкий процент по страховым выплатам (резидентам, получившим статус до 28.09.2019).</w:t>
      </w:r>
    </w:p>
    <w:p w:rsidR="00534B65" w:rsidRPr="0024684D" w:rsidRDefault="00534B65" w:rsidP="0024684D">
      <w:pPr>
        <w:widowControl w:val="0"/>
        <w:tabs>
          <w:tab w:val="left" w:pos="851"/>
          <w:tab w:val="left" w:pos="993"/>
        </w:tabs>
        <w:spacing w:line="276" w:lineRule="auto"/>
        <w:rPr>
          <w:sz w:val="28"/>
          <w:szCs w:val="28"/>
        </w:rPr>
      </w:pPr>
      <w:r w:rsidRPr="0024684D">
        <w:rPr>
          <w:sz w:val="28"/>
          <w:szCs w:val="28"/>
        </w:rPr>
        <w:t>Постановлением Правительства Российской Федерации от 28 июля 2022 года № 1346 срок действия ТОСЭР «Тольятти» продлен до 28 сентября 2028 года. Продление срока действия позволяет увеличить для компаний срок пользования всеми налоговыми льготами.</w:t>
      </w:r>
    </w:p>
    <w:p w:rsidR="00534B65" w:rsidRPr="0024684D" w:rsidRDefault="00534B65" w:rsidP="0024684D">
      <w:pPr>
        <w:widowControl w:val="0"/>
        <w:tabs>
          <w:tab w:val="left" w:pos="851"/>
          <w:tab w:val="left" w:pos="993"/>
        </w:tabs>
        <w:spacing w:line="276" w:lineRule="auto"/>
        <w:rPr>
          <w:sz w:val="28"/>
          <w:szCs w:val="28"/>
        </w:rPr>
      </w:pPr>
      <w:r w:rsidRPr="0024684D">
        <w:rPr>
          <w:sz w:val="28"/>
          <w:szCs w:val="28"/>
        </w:rPr>
        <w:t>Так, компании, получившие статус резидента во второй или третий год функционирования ТОСЭР «Тольятти», смогут применять пониженные тарифы страховых взносов в государственные внебюджетные фонды в течение полных 10 лет, что уравнивает их в правах с резидентами, получившими этот статус в первый год существования ТОСЭР «Тольятти».</w:t>
      </w:r>
    </w:p>
    <w:p w:rsidR="00534B65" w:rsidRPr="0024684D" w:rsidRDefault="00534B65" w:rsidP="0024684D">
      <w:pPr>
        <w:widowControl w:val="0"/>
        <w:tabs>
          <w:tab w:val="left" w:pos="851"/>
          <w:tab w:val="left" w:pos="993"/>
        </w:tabs>
        <w:spacing w:line="276" w:lineRule="auto"/>
        <w:rPr>
          <w:sz w:val="28"/>
          <w:szCs w:val="28"/>
        </w:rPr>
      </w:pPr>
      <w:r w:rsidRPr="0024684D">
        <w:rPr>
          <w:sz w:val="28"/>
          <w:szCs w:val="28"/>
        </w:rPr>
        <w:t>На 01.07.2022 резидентами ТОСЭР «Тольятти» явля</w:t>
      </w:r>
      <w:r w:rsidR="00A200BB">
        <w:rPr>
          <w:sz w:val="28"/>
          <w:szCs w:val="28"/>
        </w:rPr>
        <w:t>лись</w:t>
      </w:r>
      <w:r w:rsidRPr="0024684D">
        <w:rPr>
          <w:sz w:val="28"/>
          <w:szCs w:val="28"/>
        </w:rPr>
        <w:t xml:space="preserve"> 62 компании самой разной отраслевой специализации, ими уже создано 8 143 рабочих мест (в </w:t>
      </w:r>
      <w:r w:rsidR="003146DE">
        <w:rPr>
          <w:sz w:val="28"/>
          <w:szCs w:val="28"/>
          <w:lang w:val="en-US"/>
        </w:rPr>
        <w:t>I</w:t>
      </w:r>
      <w:r w:rsidRPr="0024684D">
        <w:rPr>
          <w:sz w:val="28"/>
          <w:szCs w:val="28"/>
        </w:rPr>
        <w:t xml:space="preserve"> полугодии 2022 года – 449 рабочих места), инвестированы в создание и развитие предприятий средства в размере 26,9 млрд. руб. (в </w:t>
      </w:r>
      <w:r w:rsidR="003146DE">
        <w:rPr>
          <w:sz w:val="28"/>
          <w:szCs w:val="28"/>
          <w:lang w:val="en-US"/>
        </w:rPr>
        <w:t>I</w:t>
      </w:r>
      <w:r w:rsidRPr="0024684D">
        <w:rPr>
          <w:sz w:val="28"/>
          <w:szCs w:val="28"/>
        </w:rPr>
        <w:t xml:space="preserve"> полугодии 2022 года – 3,3 млрд. руб.). </w:t>
      </w:r>
    </w:p>
    <w:p w:rsidR="00534B65" w:rsidRPr="0024684D" w:rsidRDefault="00534B65" w:rsidP="0024684D">
      <w:pPr>
        <w:spacing w:line="276" w:lineRule="auto"/>
        <w:rPr>
          <w:sz w:val="28"/>
          <w:szCs w:val="28"/>
        </w:rPr>
      </w:pPr>
      <w:r w:rsidRPr="0024684D">
        <w:rPr>
          <w:sz w:val="28"/>
          <w:szCs w:val="28"/>
        </w:rPr>
        <w:t>В производстве пищевых продуктов резидентом ТОСЭР «Тольятти» О</w:t>
      </w:r>
      <w:r w:rsidR="0033557E">
        <w:rPr>
          <w:sz w:val="28"/>
          <w:szCs w:val="28"/>
        </w:rPr>
        <w:t>О</w:t>
      </w:r>
      <w:r w:rsidRPr="0024684D">
        <w:rPr>
          <w:sz w:val="28"/>
          <w:szCs w:val="28"/>
        </w:rPr>
        <w:t xml:space="preserve">О «КАРАТ-Тольятти» продолжается реализация комплекса мероприятий по строительству завода по производству твердых, сливочных, творожных и других типов сыров. В 2022 году было подписано соглашение с «Фондом развития моногородов» на софинансирование расходов Самарской области и городского округа Тольятти в целях реализации мероприятий по строительству и (или) реконструкции объектов инфраструктуры, необходимых для реализации инвестиционного проекта ООО «КАРАТ-Тольятти». </w:t>
      </w:r>
    </w:p>
    <w:p w:rsidR="00534B65" w:rsidRPr="0024684D" w:rsidRDefault="00534B65" w:rsidP="0024684D">
      <w:pPr>
        <w:spacing w:line="276" w:lineRule="auto"/>
        <w:rPr>
          <w:sz w:val="28"/>
          <w:szCs w:val="28"/>
        </w:rPr>
      </w:pPr>
      <w:r w:rsidRPr="0024684D">
        <w:rPr>
          <w:sz w:val="28"/>
          <w:szCs w:val="28"/>
        </w:rPr>
        <w:t xml:space="preserve">Еще один резидент - ООО «АГРОПАРТНЕР» в 2022 году полномасштабно запустил производство сыров по итальянской технологии под торговой маркой «PANIERE». На данный момент уже производятся сыры из экологически чистого коровьего молока от фермеров Самарской области. </w:t>
      </w:r>
    </w:p>
    <w:p w:rsidR="00534B65" w:rsidRPr="0024684D" w:rsidRDefault="00534B65" w:rsidP="0024684D">
      <w:pPr>
        <w:spacing w:line="276" w:lineRule="auto"/>
        <w:rPr>
          <w:sz w:val="28"/>
          <w:szCs w:val="28"/>
        </w:rPr>
      </w:pPr>
      <w:r w:rsidRPr="0024684D">
        <w:rPr>
          <w:sz w:val="28"/>
          <w:szCs w:val="28"/>
        </w:rPr>
        <w:t xml:space="preserve">Резидент ТОСЭР «Тольятти» - ООО «Феррони Тольятти» продолжает активную работу по организации производства входных металлических дверей на территории бывшего завода «АвтоВАЗагрегат».  </w:t>
      </w:r>
      <w:r w:rsidRPr="0024684D">
        <w:rPr>
          <w:iCs/>
          <w:sz w:val="28"/>
          <w:szCs w:val="28"/>
        </w:rPr>
        <w:t xml:space="preserve">В настоящее время компания локализует производство комплектующих, а на базе технопарка «Жигулевская долина» в 2022 году был открыт центр </w:t>
      </w:r>
      <w:r w:rsidRPr="0024684D">
        <w:rPr>
          <w:sz w:val="28"/>
          <w:szCs w:val="28"/>
        </w:rPr>
        <w:t>научно-исследовательских и опытно-конструкторских работ</w:t>
      </w:r>
      <w:r w:rsidRPr="0024684D">
        <w:rPr>
          <w:iCs/>
          <w:sz w:val="28"/>
          <w:szCs w:val="28"/>
        </w:rPr>
        <w:t>, где будут создаваться передовые технологии «умных» дверей и замков.</w:t>
      </w:r>
    </w:p>
    <w:p w:rsidR="00534B65" w:rsidRPr="0024684D" w:rsidRDefault="00534B65" w:rsidP="0024684D">
      <w:pPr>
        <w:spacing w:line="276" w:lineRule="auto"/>
        <w:rPr>
          <w:iCs/>
          <w:sz w:val="28"/>
          <w:szCs w:val="28"/>
        </w:rPr>
      </w:pPr>
      <w:r w:rsidRPr="0024684D">
        <w:rPr>
          <w:sz w:val="28"/>
          <w:szCs w:val="28"/>
        </w:rPr>
        <w:t xml:space="preserve">В 2022 году подписано соглашение о сотрудничестве между компанией </w:t>
      </w:r>
      <w:r w:rsidRPr="0024684D">
        <w:rPr>
          <w:iCs/>
          <w:sz w:val="28"/>
          <w:szCs w:val="28"/>
        </w:rPr>
        <w:t xml:space="preserve">«Феррони» и Правительством Самарской области о строительстве в городском округе Тольятти частной общеобразовательной школы на 150 мест. Инвестиционный проект предполагает, что на территории школы будут расположены корпуса для временного проживания, физкультурно-оздоровительный комплекс, футбольное поле, баскетбольная и волейбольная площадки. Направления, по которым планируется организовать обучение – робототехника и мехатроника, аддитивные технологии, производство изделий из полимерных материалов, VR, промышленный дизайн, биотехнологии, фармацевтика, IT-сфера. Общий объем инвестиций в проект составит более 400 млн. руб. </w:t>
      </w:r>
    </w:p>
    <w:p w:rsidR="00534B65" w:rsidRPr="0024684D" w:rsidRDefault="00534B65" w:rsidP="0024684D">
      <w:pPr>
        <w:spacing w:line="276" w:lineRule="auto"/>
        <w:rPr>
          <w:sz w:val="28"/>
          <w:szCs w:val="28"/>
        </w:rPr>
      </w:pPr>
      <w:r w:rsidRPr="0024684D">
        <w:rPr>
          <w:sz w:val="28"/>
          <w:szCs w:val="28"/>
        </w:rPr>
        <w:t>До конца 2022 года планируется рассмотреть несколько заявок компаний, претендующих на получение статуса резидента ТОСЭР «Тольятти», реализующих свои проекты в таких областях экономики как производство станков с ЧПУ, производство огнеупорных материалов, производство технологических поддонов, строительство экопарка и другие. Планируемый общий объем инвестиций, по новым проектам, составляет более 219 млн. руб., планируется создание не менее 89 новых постоянных рабочих мест.</w:t>
      </w:r>
    </w:p>
    <w:p w:rsidR="00534B65" w:rsidRPr="0024684D" w:rsidRDefault="00534B65" w:rsidP="0024684D">
      <w:pPr>
        <w:spacing w:line="276" w:lineRule="auto"/>
        <w:rPr>
          <w:sz w:val="28"/>
          <w:szCs w:val="28"/>
        </w:rPr>
      </w:pPr>
      <w:r w:rsidRPr="0024684D">
        <w:rPr>
          <w:sz w:val="28"/>
          <w:szCs w:val="28"/>
        </w:rPr>
        <w:t>Также на территории городского округа Тольятти имеется целый комплекс инфраструктурных площадок, готовых для реализации инвестиционных проектов, которые в отличие от обычных промплощадок, обеспечены энергоносителями, инженерной и транспортной инфраструктурой и административно-правовыми условиями для размещения бизнеса: технопарк в сфере высоких технологий «Жигулевская долина», проект «Жигулевская долина-2», а также Особая экономической зона промышленно-производственного типа «Тольятти», в июне 2020 года вошедшая в границы городского округа Тольятти.</w:t>
      </w:r>
    </w:p>
    <w:p w:rsidR="00824F2C" w:rsidRPr="0024684D" w:rsidRDefault="00824F2C" w:rsidP="0024684D">
      <w:pPr>
        <w:spacing w:line="276" w:lineRule="auto"/>
        <w:rPr>
          <w:sz w:val="28"/>
          <w:szCs w:val="28"/>
        </w:rPr>
      </w:pPr>
      <w:r w:rsidRPr="0024684D">
        <w:rPr>
          <w:sz w:val="28"/>
          <w:szCs w:val="28"/>
        </w:rPr>
        <w:t>Для реализации инновационных проектов и проектов в сфере IT создана отдельная площадка с особыми условиями и собственной инфраструктурой, предназначенной именно для инноваций, - Технопарк в сфере высоких технологий «Жигулевская долина» (далее – Технопарк).</w:t>
      </w:r>
    </w:p>
    <w:p w:rsidR="00534B65" w:rsidRPr="0024684D" w:rsidRDefault="00534B65" w:rsidP="0024684D">
      <w:pPr>
        <w:spacing w:line="276" w:lineRule="auto"/>
        <w:rPr>
          <w:sz w:val="28"/>
          <w:szCs w:val="28"/>
        </w:rPr>
      </w:pPr>
      <w:r w:rsidRPr="0024684D">
        <w:rPr>
          <w:sz w:val="28"/>
          <w:szCs w:val="28"/>
        </w:rPr>
        <w:t>По состоянию на 30.06.2022 резидентами Технопарка является 277 компаний, которые реализуют 284 проектов. Количество созданных рабочих мест на 30.06.2022 (накопленным итогом с начала реализации проекта) – 2 017. Фактически освоено 5 771,5 млн. руб., в том числе, из федерального бюджета – 1 982,3 млн. руб.; областного бюджета – 3 789,2 млн. руб.</w:t>
      </w:r>
    </w:p>
    <w:p w:rsidR="00534B65" w:rsidRPr="0024684D" w:rsidRDefault="00534B65" w:rsidP="0024684D">
      <w:pPr>
        <w:spacing w:line="276" w:lineRule="auto"/>
        <w:rPr>
          <w:iCs/>
          <w:sz w:val="28"/>
          <w:szCs w:val="28"/>
        </w:rPr>
      </w:pPr>
      <w:r w:rsidRPr="0024684D">
        <w:rPr>
          <w:sz w:val="28"/>
          <w:szCs w:val="28"/>
        </w:rPr>
        <w:t>Инфраструктура Технопарка полностью</w:t>
      </w:r>
      <w:r w:rsidRPr="0024684D">
        <w:rPr>
          <w:iCs/>
          <w:sz w:val="28"/>
          <w:szCs w:val="28"/>
        </w:rPr>
        <w:t xml:space="preserve"> соответствует потребностям инновационных и высокотехнологичных компаний для реализации их проектов и включает в себя общественно-деловой центр для проведения масштабных деловых мероприятий, офисные лабораторные и производственные помещения, центр технического обеспечения, бизнес-инкубатор, гостиницу и столовую.</w:t>
      </w:r>
    </w:p>
    <w:p w:rsidR="00534B65" w:rsidRPr="0024684D" w:rsidRDefault="00534B65" w:rsidP="0024684D">
      <w:pPr>
        <w:spacing w:line="276" w:lineRule="auto"/>
        <w:rPr>
          <w:iCs/>
          <w:sz w:val="28"/>
          <w:szCs w:val="28"/>
        </w:rPr>
      </w:pPr>
      <w:r w:rsidRPr="0024684D">
        <w:rPr>
          <w:iCs/>
          <w:sz w:val="28"/>
          <w:szCs w:val="28"/>
        </w:rPr>
        <w:t xml:space="preserve">Технопарк «Жигулевская долина» имеет статус регионального оператора фонда «Сколково», что позволяет создавать условия для развития новых технологических решений и роста компаний-резидентов. Также данный статус обеспечивает резидентам технопарка доступ к таким сервисам фонда «Сколково» как содействие в привлечении инвестиций. </w:t>
      </w:r>
    </w:p>
    <w:p w:rsidR="00534B65" w:rsidRPr="0024684D" w:rsidRDefault="00534B65" w:rsidP="0024684D">
      <w:pPr>
        <w:spacing w:line="276" w:lineRule="auto"/>
        <w:rPr>
          <w:iCs/>
          <w:sz w:val="28"/>
          <w:szCs w:val="28"/>
        </w:rPr>
      </w:pPr>
      <w:r w:rsidRPr="0024684D">
        <w:rPr>
          <w:iCs/>
          <w:sz w:val="28"/>
          <w:szCs w:val="28"/>
        </w:rPr>
        <w:t>В 2022 году технопарк вошел в первую тройку региональных операторов «Сколково», став лауреатом премии Skolkovo Regions Awards. Технопарк продолжает развивать индустриальное взаимодействие: партнерами «Жигулевской долины» являются представители региональной и федеральной инфраструктур поддержки, крупнейшие предприятия Самарской области, ведущие ВУЗы и научно-исследовательские центры Самарской области, г. Москвы и г. Санкт-Петербург, финансовые структуры, институты развития и поддержки предпринимательства, международные компании, технопарки России и зарубежья.</w:t>
      </w:r>
    </w:p>
    <w:p w:rsidR="00534B65" w:rsidRPr="0024684D" w:rsidRDefault="00534B65" w:rsidP="0024684D">
      <w:pPr>
        <w:spacing w:line="276" w:lineRule="auto"/>
        <w:rPr>
          <w:iCs/>
          <w:sz w:val="28"/>
          <w:szCs w:val="28"/>
        </w:rPr>
      </w:pPr>
      <w:r w:rsidRPr="0024684D">
        <w:rPr>
          <w:iCs/>
          <w:sz w:val="28"/>
          <w:szCs w:val="28"/>
        </w:rPr>
        <w:t>В текущем году на заседании единого экспертного совета технопарков к статусу резидентов технопарка «Жигулевская долина» были одобрены 15 заявок с инновационными проектами. Среди них – проекты в сфере инжиниринга, в области создания новых материалов, а также проекты по разработке CRM-системы, мобильных дата-центров, автоматизированной системы переработки стоков и другие.</w:t>
      </w:r>
    </w:p>
    <w:p w:rsidR="00534B65" w:rsidRPr="0024684D" w:rsidRDefault="00534B65" w:rsidP="0024684D">
      <w:pPr>
        <w:spacing w:line="276" w:lineRule="auto"/>
        <w:rPr>
          <w:iCs/>
          <w:sz w:val="28"/>
          <w:szCs w:val="28"/>
        </w:rPr>
      </w:pPr>
      <w:r w:rsidRPr="0024684D">
        <w:rPr>
          <w:iCs/>
          <w:sz w:val="28"/>
          <w:szCs w:val="28"/>
        </w:rPr>
        <w:t>Кроме того, в городском округе Тольятти за счет инвесторов продолжается строительство производственных корпусов на территории «Жигул</w:t>
      </w:r>
      <w:r w:rsidR="001373F4">
        <w:rPr>
          <w:iCs/>
          <w:sz w:val="28"/>
          <w:szCs w:val="28"/>
        </w:rPr>
        <w:t>евская долина-</w:t>
      </w:r>
      <w:r w:rsidRPr="0024684D">
        <w:rPr>
          <w:iCs/>
          <w:sz w:val="28"/>
          <w:szCs w:val="28"/>
        </w:rPr>
        <w:t>2».</w:t>
      </w:r>
    </w:p>
    <w:p w:rsidR="00534B65" w:rsidRPr="0024684D" w:rsidRDefault="00CC28E9" w:rsidP="0024684D">
      <w:pPr>
        <w:spacing w:line="276" w:lineRule="auto"/>
        <w:rPr>
          <w:iCs/>
          <w:sz w:val="28"/>
          <w:szCs w:val="28"/>
        </w:rPr>
      </w:pPr>
      <w:r>
        <w:rPr>
          <w:iCs/>
          <w:sz w:val="28"/>
          <w:szCs w:val="28"/>
        </w:rPr>
        <w:t>Продолжено развитие о</w:t>
      </w:r>
      <w:r w:rsidR="00534B65" w:rsidRPr="0024684D">
        <w:rPr>
          <w:iCs/>
          <w:sz w:val="28"/>
          <w:szCs w:val="28"/>
        </w:rPr>
        <w:t>соб</w:t>
      </w:r>
      <w:r>
        <w:rPr>
          <w:iCs/>
          <w:sz w:val="28"/>
          <w:szCs w:val="28"/>
        </w:rPr>
        <w:t>ой</w:t>
      </w:r>
      <w:r w:rsidR="00534B65" w:rsidRPr="0024684D">
        <w:rPr>
          <w:iCs/>
          <w:sz w:val="28"/>
          <w:szCs w:val="28"/>
        </w:rPr>
        <w:t xml:space="preserve"> экономическ</w:t>
      </w:r>
      <w:r>
        <w:rPr>
          <w:iCs/>
          <w:sz w:val="28"/>
          <w:szCs w:val="28"/>
        </w:rPr>
        <w:t>ой</w:t>
      </w:r>
      <w:r w:rsidR="00534B65" w:rsidRPr="0024684D">
        <w:rPr>
          <w:iCs/>
          <w:sz w:val="28"/>
          <w:szCs w:val="28"/>
        </w:rPr>
        <w:t xml:space="preserve"> зон</w:t>
      </w:r>
      <w:r>
        <w:rPr>
          <w:iCs/>
          <w:sz w:val="28"/>
          <w:szCs w:val="28"/>
        </w:rPr>
        <w:t>ы</w:t>
      </w:r>
      <w:r w:rsidR="00534B65" w:rsidRPr="0024684D">
        <w:rPr>
          <w:iCs/>
          <w:sz w:val="28"/>
          <w:szCs w:val="28"/>
        </w:rPr>
        <w:t xml:space="preserve"> «Тольятти» (ОЭЗ ППТ «Тольятти»). На территориях первого и второго этапов строительства ОЭЗ ППТ «Тольятти» созданы объекты инженерной инфраструктуры и транспортной сети. </w:t>
      </w:r>
      <w:r>
        <w:rPr>
          <w:iCs/>
          <w:sz w:val="28"/>
          <w:szCs w:val="28"/>
        </w:rPr>
        <w:t xml:space="preserve">По состоянию на 01.07.2022 </w:t>
      </w:r>
      <w:r w:rsidR="00534B65" w:rsidRPr="0024684D">
        <w:rPr>
          <w:iCs/>
          <w:sz w:val="28"/>
          <w:szCs w:val="28"/>
        </w:rPr>
        <w:t>резидентами явля</w:t>
      </w:r>
      <w:r>
        <w:rPr>
          <w:iCs/>
          <w:sz w:val="28"/>
          <w:szCs w:val="28"/>
        </w:rPr>
        <w:t>лись</w:t>
      </w:r>
      <w:r w:rsidR="00534B65" w:rsidRPr="0024684D">
        <w:rPr>
          <w:iCs/>
          <w:sz w:val="28"/>
          <w:szCs w:val="28"/>
        </w:rPr>
        <w:t xml:space="preserve"> 31 компания, с которыми подписаны Соглашения об осуществлении промышленно-производственной деятельности: 13 компаний осуществляют производственную деятельность; 8 компаний ведут строительно-монтажные работы на своих площадках; 10 компаний - находятся в стадии проектирования.</w:t>
      </w:r>
    </w:p>
    <w:p w:rsidR="00534B65" w:rsidRPr="0024684D" w:rsidRDefault="002F56E9" w:rsidP="0024684D">
      <w:pPr>
        <w:spacing w:line="276" w:lineRule="auto"/>
        <w:rPr>
          <w:iCs/>
          <w:sz w:val="28"/>
          <w:szCs w:val="28"/>
        </w:rPr>
      </w:pPr>
      <w:r w:rsidRPr="0024684D">
        <w:rPr>
          <w:iCs/>
          <w:sz w:val="28"/>
          <w:szCs w:val="28"/>
        </w:rPr>
        <w:t>С начала реализации проекта (с учетом управляющей компании) по состоянию на 30.06.2022 ф</w:t>
      </w:r>
      <w:r w:rsidR="00534B65" w:rsidRPr="0024684D">
        <w:rPr>
          <w:iCs/>
          <w:sz w:val="28"/>
          <w:szCs w:val="28"/>
        </w:rPr>
        <w:t>актически освоено 35 682 млн. руб., количество созданных рабочих мест</w:t>
      </w:r>
      <w:r w:rsidRPr="0024684D">
        <w:rPr>
          <w:iCs/>
          <w:sz w:val="28"/>
          <w:szCs w:val="28"/>
        </w:rPr>
        <w:t xml:space="preserve"> </w:t>
      </w:r>
      <w:r w:rsidR="00534B65" w:rsidRPr="0024684D">
        <w:rPr>
          <w:iCs/>
          <w:sz w:val="28"/>
          <w:szCs w:val="28"/>
        </w:rPr>
        <w:t xml:space="preserve">– 2 802. </w:t>
      </w:r>
    </w:p>
    <w:p w:rsidR="00534B65" w:rsidRPr="0024684D" w:rsidRDefault="00534B65" w:rsidP="0024684D">
      <w:pPr>
        <w:spacing w:line="276" w:lineRule="auto"/>
        <w:rPr>
          <w:iCs/>
          <w:sz w:val="28"/>
          <w:szCs w:val="28"/>
        </w:rPr>
      </w:pPr>
      <w:r w:rsidRPr="0024684D">
        <w:rPr>
          <w:iCs/>
          <w:sz w:val="28"/>
          <w:szCs w:val="28"/>
        </w:rPr>
        <w:t xml:space="preserve">В 2022 году два резидента ОЭЗ ППТ «Тольятти» планируют завершить строительство новых корпусов под производство автокомпонентов: </w:t>
      </w:r>
    </w:p>
    <w:p w:rsidR="00534B65" w:rsidRPr="0024684D" w:rsidRDefault="00534B65" w:rsidP="0024684D">
      <w:pPr>
        <w:spacing w:line="276" w:lineRule="auto"/>
        <w:rPr>
          <w:b/>
          <w:bCs/>
          <w:iCs/>
          <w:sz w:val="28"/>
          <w:szCs w:val="28"/>
        </w:rPr>
      </w:pPr>
      <w:r w:rsidRPr="0024684D">
        <w:rPr>
          <w:iCs/>
          <w:sz w:val="28"/>
          <w:szCs w:val="28"/>
        </w:rPr>
        <w:t>- ООО «ИнтЭксПласт», которое будет выпускать более 30 наименований автокомпонентов из пластмасс (планируется создание 132 новых рабочих мест, объем инвестиций по проекту может составить 463 млн. руб.);</w:t>
      </w:r>
    </w:p>
    <w:p w:rsidR="00534B65" w:rsidRPr="0024684D" w:rsidRDefault="00534B65" w:rsidP="0024684D">
      <w:pPr>
        <w:spacing w:line="276" w:lineRule="auto"/>
        <w:rPr>
          <w:iCs/>
          <w:sz w:val="28"/>
          <w:szCs w:val="28"/>
        </w:rPr>
      </w:pPr>
      <w:r w:rsidRPr="0024684D">
        <w:rPr>
          <w:iCs/>
          <w:sz w:val="28"/>
          <w:szCs w:val="28"/>
        </w:rPr>
        <w:t>- ООО «Форесия автомобильные решения» завершает строительство третьей очереди (новый производственный корпус), что позволит наладить производство пены для автомобильных сидений (планируется создание 80 новых рабочих мест).</w:t>
      </w:r>
    </w:p>
    <w:p w:rsidR="00534B65" w:rsidRPr="0024684D" w:rsidRDefault="00534B65" w:rsidP="0024684D">
      <w:pPr>
        <w:spacing w:line="276" w:lineRule="auto"/>
        <w:rPr>
          <w:iCs/>
          <w:sz w:val="28"/>
          <w:szCs w:val="28"/>
        </w:rPr>
      </w:pPr>
      <w:r w:rsidRPr="0024684D">
        <w:rPr>
          <w:iCs/>
          <w:sz w:val="28"/>
          <w:szCs w:val="28"/>
        </w:rPr>
        <w:t xml:space="preserve">В 2022 году подписано соглашение между Правительством Самарской области и крупнейшим производителем природного газа в России ПАО «НОВАТЭК» о строительстве малотоннажного комплекса по производству сжиженного природного газа (инвестиции в проект могут составить порядка 2 млрд. руб.). </w:t>
      </w:r>
    </w:p>
    <w:p w:rsidR="00534B65" w:rsidRPr="0024684D" w:rsidRDefault="00534B65" w:rsidP="0024684D">
      <w:pPr>
        <w:spacing w:line="276" w:lineRule="auto"/>
        <w:rPr>
          <w:iCs/>
          <w:sz w:val="28"/>
          <w:szCs w:val="28"/>
        </w:rPr>
      </w:pPr>
      <w:r w:rsidRPr="0024684D">
        <w:rPr>
          <w:iCs/>
          <w:sz w:val="28"/>
          <w:szCs w:val="28"/>
        </w:rPr>
        <w:t>Компанией ООО «ММК-Производственно-Логистический Центр-Тольятти» планируется запуск в ОЭЗ ППТ «Тольятти» производственно-логистического центра для нужд автопромышленности, планируемый объем инвестиций - 1,3 млрд. руб. Логистический комплекс способен обеспечивать автопроизводителей металлопрокатом, объемом от 500 тыс. тонн в год с возможностью расширения в будущем.</w:t>
      </w:r>
    </w:p>
    <w:p w:rsidR="00534B65" w:rsidRPr="0024684D" w:rsidRDefault="00534B65" w:rsidP="0024684D">
      <w:pPr>
        <w:spacing w:line="276" w:lineRule="auto"/>
        <w:rPr>
          <w:iCs/>
          <w:sz w:val="28"/>
          <w:szCs w:val="28"/>
        </w:rPr>
      </w:pPr>
      <w:r w:rsidRPr="0024684D">
        <w:rPr>
          <w:iCs/>
          <w:sz w:val="28"/>
          <w:szCs w:val="28"/>
        </w:rPr>
        <w:t xml:space="preserve">В целях повышения привлекательности ОЭЗ ППТ «Тольятти» реализуется крупный инфраструктурный проект: подведение к ее границам железнодорожной ветки от вокзала Автозаводского района городского округа Тольятти с возможностью перевозки по ней 1,4 млрд. тонн грузов в год. </w:t>
      </w:r>
    </w:p>
    <w:p w:rsidR="00534B65" w:rsidRPr="0024684D" w:rsidRDefault="00534B65" w:rsidP="0024684D">
      <w:pPr>
        <w:spacing w:line="276" w:lineRule="auto"/>
        <w:rPr>
          <w:iCs/>
          <w:sz w:val="28"/>
          <w:szCs w:val="28"/>
        </w:rPr>
      </w:pPr>
      <w:r w:rsidRPr="0024684D">
        <w:rPr>
          <w:iCs/>
          <w:sz w:val="28"/>
          <w:szCs w:val="28"/>
        </w:rPr>
        <w:t>Объем инвестиций управляющей компанией ОЭЗ ППТ «Тольятти» по особо значимым проектам до конца 2022</w:t>
      </w:r>
      <w:r w:rsidR="00DB2790" w:rsidRPr="0024684D">
        <w:rPr>
          <w:iCs/>
          <w:sz w:val="28"/>
          <w:szCs w:val="28"/>
        </w:rPr>
        <w:t xml:space="preserve"> года может составить около 2,6 </w:t>
      </w:r>
      <w:r w:rsidRPr="0024684D">
        <w:rPr>
          <w:iCs/>
          <w:sz w:val="28"/>
          <w:szCs w:val="28"/>
        </w:rPr>
        <w:t xml:space="preserve">млрд. руб., резидентами планируется освоить </w:t>
      </w:r>
      <w:r w:rsidR="00DB2790" w:rsidRPr="0024684D">
        <w:rPr>
          <w:iCs/>
          <w:sz w:val="28"/>
          <w:szCs w:val="28"/>
        </w:rPr>
        <w:t xml:space="preserve">более </w:t>
      </w:r>
      <w:r w:rsidRPr="0024684D">
        <w:rPr>
          <w:iCs/>
          <w:sz w:val="28"/>
          <w:szCs w:val="28"/>
        </w:rPr>
        <w:t>2 млрд. руб.</w:t>
      </w:r>
    </w:p>
    <w:p w:rsidR="00534B65" w:rsidRPr="0024684D" w:rsidRDefault="00534B65" w:rsidP="0024684D">
      <w:pPr>
        <w:spacing w:line="276" w:lineRule="auto"/>
        <w:rPr>
          <w:sz w:val="28"/>
          <w:szCs w:val="28"/>
        </w:rPr>
      </w:pPr>
      <w:r w:rsidRPr="0024684D">
        <w:rPr>
          <w:sz w:val="28"/>
          <w:szCs w:val="28"/>
        </w:rPr>
        <w:t>В соответствии с ранее заключенными администрацией городского округа Тольятти концессионными соглашениями в текущем году и прогнозном периоде будет осуществляться эксплуатация следующих объектов муниципальной собственности:</w:t>
      </w:r>
    </w:p>
    <w:p w:rsidR="00534B65" w:rsidRPr="0024684D" w:rsidRDefault="00534B65" w:rsidP="0024684D">
      <w:pPr>
        <w:spacing w:line="276" w:lineRule="auto"/>
        <w:rPr>
          <w:sz w:val="28"/>
          <w:szCs w:val="28"/>
        </w:rPr>
      </w:pPr>
      <w:r w:rsidRPr="0024684D">
        <w:rPr>
          <w:sz w:val="28"/>
          <w:szCs w:val="28"/>
        </w:rPr>
        <w:t>- в рамках концессионного соглашения, заключенного с АНОО СОШ «Сота», эксплуатация объекта образования – комплекса зданий общеобразовательной школы не менее, чем на 100 учебных мест, расположенного по адресу: г. Тольятти, ул. Комзина, д. 2А, с оказанием концессионером образовательных услуг по реализации образовательных программ начального общего образования, основного общего образования и среднего общего образования, дополнительным общеобразовательным программам;</w:t>
      </w:r>
    </w:p>
    <w:p w:rsidR="00534B65" w:rsidRPr="0024684D" w:rsidRDefault="00534B65" w:rsidP="0024684D">
      <w:pPr>
        <w:spacing w:line="276" w:lineRule="auto"/>
        <w:rPr>
          <w:sz w:val="28"/>
          <w:szCs w:val="28"/>
        </w:rPr>
      </w:pPr>
      <w:r w:rsidRPr="0024684D">
        <w:rPr>
          <w:sz w:val="28"/>
          <w:szCs w:val="28"/>
        </w:rPr>
        <w:t xml:space="preserve">- в рамках концессионного соглашения, заключенного с ООО «Альтернатива», эксплуатация объекта образования – здания детского сада, расположенного по адресу: г. Тольятти, б-р Королёва, д. 22, с осуществлением ЧОУ СОШ «ООЦ «Школа» (арендатор концессионера, с согласия администрации городского округа Тольятти) образовательной деятельности по программам дошкольного образования, а также присмотра и ухода не менее, чем за 140 воспитанниками. </w:t>
      </w:r>
    </w:p>
    <w:p w:rsidR="00534B65" w:rsidRPr="0024684D" w:rsidRDefault="00534B65" w:rsidP="0024684D">
      <w:pPr>
        <w:spacing w:line="276" w:lineRule="auto"/>
        <w:rPr>
          <w:sz w:val="28"/>
          <w:szCs w:val="28"/>
        </w:rPr>
      </w:pPr>
      <w:bookmarkStart w:id="7" w:name="_Hlk112068790"/>
      <w:r w:rsidRPr="0024684D">
        <w:rPr>
          <w:sz w:val="28"/>
          <w:szCs w:val="28"/>
        </w:rPr>
        <w:t xml:space="preserve">В январе-июне 2022 года относительно аналогичного периода прошлого года значительно увеличились бюджетные инвестиции – в 2,3 раза (до 2 719,4 млн. руб.), в том числе из федерального бюджета – на 56,8% (до 706,8 млн. руб.), из областного бюджета – в 2,9 раза (до 1 935,5 млн. руб.), из местного бюджета – рост на 24,2% (до 77,1 млн. руб.). </w:t>
      </w:r>
    </w:p>
    <w:p w:rsidR="00534B65" w:rsidRPr="0024684D" w:rsidRDefault="00534B65" w:rsidP="0024684D">
      <w:pPr>
        <w:spacing w:line="276" w:lineRule="auto"/>
        <w:rPr>
          <w:sz w:val="28"/>
          <w:szCs w:val="28"/>
        </w:rPr>
      </w:pPr>
      <w:r w:rsidRPr="0024684D">
        <w:rPr>
          <w:sz w:val="28"/>
          <w:szCs w:val="28"/>
        </w:rPr>
        <w:t xml:space="preserve">К концу 2022 года бюджетные инвестиций ожидаются в объеме 5 915,7 млн. руб., в т.ч. за счет реализации следующих инвестиционных проектов: </w:t>
      </w:r>
    </w:p>
    <w:p w:rsidR="00534B65" w:rsidRPr="0024684D" w:rsidRDefault="00534B65" w:rsidP="0024684D">
      <w:pPr>
        <w:pStyle w:val="afb"/>
        <w:widowControl w:val="0"/>
        <w:numPr>
          <w:ilvl w:val="0"/>
          <w:numId w:val="5"/>
        </w:numPr>
        <w:spacing w:line="276" w:lineRule="auto"/>
        <w:ind w:left="0" w:firstLine="709"/>
        <w:contextualSpacing/>
        <w:rPr>
          <w:sz w:val="28"/>
          <w:szCs w:val="28"/>
          <w:lang w:eastAsia="ar-SA"/>
        </w:rPr>
      </w:pPr>
      <w:r w:rsidRPr="0024684D">
        <w:rPr>
          <w:sz w:val="28"/>
          <w:szCs w:val="28"/>
          <w:lang w:eastAsia="ar-SA"/>
        </w:rPr>
        <w:t xml:space="preserve">- ввод в эксплуатацию детского сада ЛДС-2 в составе 2 этапа в 14а </w:t>
      </w:r>
      <w:r w:rsidR="008C4E68">
        <w:rPr>
          <w:sz w:val="28"/>
          <w:szCs w:val="28"/>
          <w:lang w:eastAsia="ar-SA"/>
        </w:rPr>
        <w:t>квартале Автозаводского района</w:t>
      </w:r>
      <w:r w:rsidRPr="0024684D">
        <w:rPr>
          <w:sz w:val="28"/>
          <w:szCs w:val="28"/>
          <w:lang w:eastAsia="ar-SA"/>
        </w:rPr>
        <w:t>;</w:t>
      </w:r>
    </w:p>
    <w:p w:rsidR="00534B65" w:rsidRPr="0024684D" w:rsidRDefault="00534B65" w:rsidP="0024684D">
      <w:pPr>
        <w:spacing w:line="276" w:lineRule="auto"/>
        <w:rPr>
          <w:sz w:val="28"/>
          <w:szCs w:val="28"/>
          <w:lang w:eastAsia="ar-SA"/>
        </w:rPr>
      </w:pPr>
      <w:r w:rsidRPr="0024684D">
        <w:rPr>
          <w:sz w:val="28"/>
          <w:szCs w:val="28"/>
          <w:lang w:eastAsia="ar-SA"/>
        </w:rPr>
        <w:t xml:space="preserve">- </w:t>
      </w:r>
      <w:r w:rsidR="00585B46" w:rsidRPr="0024684D">
        <w:rPr>
          <w:sz w:val="28"/>
          <w:szCs w:val="28"/>
          <w:lang w:eastAsia="ar-SA"/>
        </w:rPr>
        <w:t>продолжение</w:t>
      </w:r>
      <w:r w:rsidRPr="0024684D">
        <w:rPr>
          <w:sz w:val="28"/>
          <w:szCs w:val="28"/>
          <w:lang w:eastAsia="ar-SA"/>
        </w:rPr>
        <w:t xml:space="preserve"> реконструкци</w:t>
      </w:r>
      <w:r w:rsidR="00585B46" w:rsidRPr="0024684D">
        <w:rPr>
          <w:sz w:val="28"/>
          <w:szCs w:val="28"/>
          <w:lang w:eastAsia="ar-SA"/>
        </w:rPr>
        <w:t xml:space="preserve">и </w:t>
      </w:r>
      <w:r w:rsidRPr="0024684D">
        <w:rPr>
          <w:sz w:val="28"/>
          <w:szCs w:val="28"/>
          <w:lang w:eastAsia="ar-SA"/>
        </w:rPr>
        <w:t>набережной Автозаводского района;</w:t>
      </w:r>
    </w:p>
    <w:p w:rsidR="00585B46" w:rsidRDefault="00585B46" w:rsidP="0024684D">
      <w:pPr>
        <w:spacing w:line="276" w:lineRule="auto"/>
        <w:rPr>
          <w:sz w:val="28"/>
          <w:szCs w:val="28"/>
          <w:lang w:eastAsia="ar-SA"/>
        </w:rPr>
      </w:pPr>
      <w:r w:rsidRPr="0024684D">
        <w:rPr>
          <w:sz w:val="28"/>
          <w:szCs w:val="28"/>
          <w:lang w:eastAsia="ar-SA"/>
        </w:rPr>
        <w:t>- продолжение строительства общеобразовательной школы на 1600 мест, расположенной в 20 квартале Автозаводского района;</w:t>
      </w:r>
    </w:p>
    <w:p w:rsidR="009977CD" w:rsidRPr="0024684D" w:rsidRDefault="009977CD" w:rsidP="0024684D">
      <w:pPr>
        <w:spacing w:line="276" w:lineRule="auto"/>
        <w:rPr>
          <w:sz w:val="28"/>
          <w:szCs w:val="28"/>
          <w:lang w:eastAsia="ar-SA"/>
        </w:rPr>
      </w:pPr>
      <w:r>
        <w:rPr>
          <w:sz w:val="28"/>
          <w:szCs w:val="28"/>
          <w:lang w:eastAsia="ar-SA"/>
        </w:rPr>
        <w:t>- проектирование и строительство общеобразовательной школы по ул. 70 лет Октября, 18 квартал</w:t>
      </w:r>
      <w:r w:rsidR="00CD42BF">
        <w:rPr>
          <w:sz w:val="28"/>
          <w:szCs w:val="28"/>
          <w:lang w:eastAsia="ar-SA"/>
        </w:rPr>
        <w:t xml:space="preserve"> в рамках концессионного соглашения</w:t>
      </w:r>
      <w:r>
        <w:rPr>
          <w:sz w:val="28"/>
          <w:szCs w:val="28"/>
          <w:lang w:eastAsia="ar-SA"/>
        </w:rPr>
        <w:t>;</w:t>
      </w:r>
    </w:p>
    <w:p w:rsidR="00534B65" w:rsidRPr="0024684D" w:rsidRDefault="00534B65" w:rsidP="0024684D">
      <w:pPr>
        <w:spacing w:line="276" w:lineRule="auto"/>
        <w:rPr>
          <w:sz w:val="28"/>
          <w:szCs w:val="28"/>
          <w:lang w:eastAsia="ar-SA"/>
        </w:rPr>
      </w:pPr>
      <w:r w:rsidRPr="0024684D">
        <w:rPr>
          <w:sz w:val="28"/>
          <w:szCs w:val="28"/>
          <w:lang w:eastAsia="ar-SA"/>
        </w:rPr>
        <w:t>- разработка проектной документации, выполнение инженерных изысканий в целях реконструкции автомобильной дороги общего пользования регионального значения в Самарской области (Обводное шоссе Тольятти);</w:t>
      </w:r>
    </w:p>
    <w:p w:rsidR="00534B65" w:rsidRPr="0024684D" w:rsidRDefault="00534B65" w:rsidP="0024684D">
      <w:pPr>
        <w:spacing w:line="276" w:lineRule="auto"/>
        <w:rPr>
          <w:sz w:val="28"/>
          <w:szCs w:val="28"/>
          <w:lang w:eastAsia="ar-SA"/>
        </w:rPr>
      </w:pPr>
      <w:r w:rsidRPr="0024684D">
        <w:rPr>
          <w:sz w:val="28"/>
          <w:szCs w:val="28"/>
          <w:lang w:eastAsia="ar-SA"/>
        </w:rPr>
        <w:t>- строительство объектов инфраструктуры, необходимых для реализации масштабного инвестиционного проекта «Строительство завода по производству сыра в городском округе Тольятти»;</w:t>
      </w:r>
    </w:p>
    <w:p w:rsidR="00A7553E" w:rsidRPr="0024684D" w:rsidRDefault="00534B65" w:rsidP="0024684D">
      <w:pPr>
        <w:spacing w:line="276" w:lineRule="auto"/>
        <w:rPr>
          <w:sz w:val="28"/>
          <w:szCs w:val="28"/>
          <w:lang w:eastAsia="ar-SA"/>
        </w:rPr>
      </w:pPr>
      <w:r w:rsidRPr="0024684D">
        <w:rPr>
          <w:sz w:val="28"/>
          <w:szCs w:val="28"/>
          <w:lang w:eastAsia="ar-SA"/>
        </w:rPr>
        <w:t xml:space="preserve"> - проектирование и строительство здания </w:t>
      </w:r>
      <w:r w:rsidR="00AE5C3D" w:rsidRPr="0024684D">
        <w:rPr>
          <w:sz w:val="28"/>
          <w:szCs w:val="28"/>
          <w:lang w:eastAsia="ar-SA"/>
        </w:rPr>
        <w:t>центра правопорядка</w:t>
      </w:r>
      <w:r w:rsidR="00A7553E" w:rsidRPr="0024684D">
        <w:rPr>
          <w:sz w:val="28"/>
          <w:szCs w:val="28"/>
          <w:lang w:eastAsia="ar-SA"/>
        </w:rPr>
        <w:t>;</w:t>
      </w:r>
    </w:p>
    <w:p w:rsidR="00734C0A" w:rsidRDefault="00A7553E" w:rsidP="00734C0A">
      <w:pPr>
        <w:spacing w:line="276" w:lineRule="auto"/>
        <w:rPr>
          <w:sz w:val="28"/>
          <w:szCs w:val="28"/>
          <w:lang w:eastAsia="ar-SA"/>
        </w:rPr>
      </w:pPr>
      <w:r w:rsidRPr="0024684D">
        <w:rPr>
          <w:sz w:val="28"/>
          <w:szCs w:val="28"/>
          <w:lang w:eastAsia="ar-SA"/>
        </w:rPr>
        <w:t>- реконструкция магистральной улицы районного значения транспортно-пешеходной по бульвару от Московского проспекта до обводного дорог поселка Приморский</w:t>
      </w:r>
      <w:bookmarkEnd w:id="7"/>
      <w:r w:rsidR="00734C0A">
        <w:rPr>
          <w:sz w:val="28"/>
          <w:szCs w:val="28"/>
          <w:lang w:eastAsia="ar-SA"/>
        </w:rPr>
        <w:t>.</w:t>
      </w:r>
    </w:p>
    <w:p w:rsidR="00534B65" w:rsidRPr="00734C0A" w:rsidRDefault="00534B65" w:rsidP="00734C0A">
      <w:pPr>
        <w:spacing w:line="276" w:lineRule="auto"/>
        <w:rPr>
          <w:sz w:val="28"/>
          <w:szCs w:val="28"/>
          <w:lang w:eastAsia="ar-SA"/>
        </w:rPr>
      </w:pPr>
      <w:r w:rsidRPr="00734C0A">
        <w:rPr>
          <w:sz w:val="28"/>
          <w:szCs w:val="28"/>
          <w:lang w:eastAsia="ar-SA"/>
        </w:rPr>
        <w:t>Таким образом, на основании представленных оценочных данных ведущих промышленных предприятий города, с учетом плановых объемов инвестиций в основной капитал всех резидентов ТОСЭР «Тольятти» и резидентов ОЭЗ ППТ «Тольятти», а также плановых сумм бюджетных инвестиций до конца 2022 года, в целом по городу к концу 2022 года инвестиции в основной капитал снизятся на 9,</w:t>
      </w:r>
      <w:r w:rsidR="00004E1D" w:rsidRPr="00734C0A">
        <w:rPr>
          <w:sz w:val="28"/>
          <w:szCs w:val="28"/>
          <w:lang w:eastAsia="ar-SA"/>
        </w:rPr>
        <w:t>5</w:t>
      </w:r>
      <w:r w:rsidRPr="00734C0A">
        <w:rPr>
          <w:sz w:val="28"/>
          <w:szCs w:val="28"/>
          <w:lang w:eastAsia="ar-SA"/>
        </w:rPr>
        <w:t xml:space="preserve">% по отношению к уровню 2021 года в сопоставимых ценах (рост на 0,8% в действующих ценах) и составят 60 364,0 млн. руб. </w:t>
      </w:r>
    </w:p>
    <w:p w:rsidR="00AE5C3D" w:rsidRPr="004F5DCE" w:rsidRDefault="00AE5C3D" w:rsidP="00534B65">
      <w:pPr>
        <w:pStyle w:val="aff0"/>
        <w:tabs>
          <w:tab w:val="num" w:pos="0"/>
        </w:tabs>
        <w:spacing w:line="276" w:lineRule="auto"/>
        <w:rPr>
          <w:szCs w:val="24"/>
        </w:rPr>
      </w:pPr>
    </w:p>
    <w:p w:rsidR="00534B65" w:rsidRPr="00673D61" w:rsidRDefault="00534B65" w:rsidP="00534B65">
      <w:pPr>
        <w:pStyle w:val="aff0"/>
        <w:spacing w:line="276" w:lineRule="auto"/>
        <w:jc w:val="center"/>
        <w:rPr>
          <w:szCs w:val="28"/>
          <w:shd w:val="clear" w:color="auto" w:fill="FFFFFF"/>
        </w:rPr>
      </w:pPr>
      <w:r w:rsidRPr="00673D61">
        <w:rPr>
          <w:szCs w:val="28"/>
          <w:shd w:val="clear" w:color="auto" w:fill="FFFFFF"/>
        </w:rPr>
        <w:t>Ожидаемое выполнение прогнозных показателей по разделу</w:t>
      </w:r>
    </w:p>
    <w:p w:rsidR="00534B65" w:rsidRDefault="00534B65" w:rsidP="00534B65">
      <w:pPr>
        <w:pStyle w:val="aff0"/>
        <w:spacing w:line="276" w:lineRule="auto"/>
        <w:jc w:val="center"/>
        <w:rPr>
          <w:szCs w:val="28"/>
          <w:shd w:val="clear" w:color="auto" w:fill="FFFFFF"/>
        </w:rPr>
      </w:pPr>
      <w:r w:rsidRPr="00673D61">
        <w:rPr>
          <w:szCs w:val="28"/>
          <w:shd w:val="clear" w:color="auto" w:fill="FFFFFF"/>
        </w:rPr>
        <w:t>«Инвестиции в основной капитал» на 2022 год</w:t>
      </w:r>
    </w:p>
    <w:p w:rsidR="00534B65" w:rsidRPr="00673D61" w:rsidRDefault="00534B65" w:rsidP="00534B65">
      <w:pPr>
        <w:pStyle w:val="aff0"/>
        <w:spacing w:line="276" w:lineRule="auto"/>
        <w:jc w:val="center"/>
        <w:rPr>
          <w:szCs w:val="28"/>
          <w:shd w:val="clear" w:color="auto" w:fill="FFFFFF"/>
        </w:rPr>
      </w:pPr>
    </w:p>
    <w:tbl>
      <w:tblPr>
        <w:tblW w:w="9323" w:type="dxa"/>
        <w:jc w:val="center"/>
        <w:tblLayout w:type="fixed"/>
        <w:tblLook w:val="0000" w:firstRow="0" w:lastRow="0" w:firstColumn="0" w:lastColumn="0" w:noHBand="0" w:noVBand="0"/>
      </w:tblPr>
      <w:tblGrid>
        <w:gridCol w:w="3671"/>
        <w:gridCol w:w="1417"/>
        <w:gridCol w:w="1418"/>
        <w:gridCol w:w="1417"/>
        <w:gridCol w:w="1400"/>
      </w:tblGrid>
      <w:tr w:rsidR="00534B65" w:rsidRPr="00204763" w:rsidTr="000F5585">
        <w:trPr>
          <w:tblHeader/>
          <w:jc w:val="center"/>
        </w:trPr>
        <w:tc>
          <w:tcPr>
            <w:tcW w:w="3671" w:type="dxa"/>
            <w:vMerge w:val="restart"/>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rPr>
                <w:szCs w:val="28"/>
                <w:shd w:val="clear" w:color="auto" w:fill="FFFFFF"/>
              </w:rPr>
            </w:pPr>
            <w:r w:rsidRPr="00780B0F">
              <w:rPr>
                <w:szCs w:val="28"/>
                <w:shd w:val="clear" w:color="auto" w:fill="FFFFFF"/>
              </w:rPr>
              <w:t>Показатели</w:t>
            </w:r>
          </w:p>
        </w:tc>
        <w:tc>
          <w:tcPr>
            <w:tcW w:w="1417" w:type="dxa"/>
            <w:vMerge w:val="restart"/>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firstLine="0"/>
              <w:jc w:val="center"/>
              <w:rPr>
                <w:szCs w:val="28"/>
                <w:shd w:val="clear" w:color="auto" w:fill="FFFFFF"/>
              </w:rPr>
            </w:pPr>
            <w:r w:rsidRPr="00780B0F">
              <w:rPr>
                <w:szCs w:val="28"/>
                <w:shd w:val="clear" w:color="auto" w:fill="FFFFFF"/>
              </w:rPr>
              <w:t>Ед. изм.</w:t>
            </w:r>
          </w:p>
        </w:tc>
        <w:tc>
          <w:tcPr>
            <w:tcW w:w="2835" w:type="dxa"/>
            <w:gridSpan w:val="2"/>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firstLine="0"/>
              <w:jc w:val="center"/>
              <w:rPr>
                <w:szCs w:val="28"/>
                <w:shd w:val="clear" w:color="auto" w:fill="FFFFFF"/>
              </w:rPr>
            </w:pPr>
            <w:r w:rsidRPr="00780B0F">
              <w:rPr>
                <w:szCs w:val="28"/>
                <w:shd w:val="clear" w:color="auto" w:fill="FFFFFF"/>
              </w:rPr>
              <w:t>Прогноз на 2022 год</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rsidR="00534B65" w:rsidRPr="00204763" w:rsidRDefault="00534B65" w:rsidP="000F5585">
            <w:pPr>
              <w:pStyle w:val="aff0"/>
              <w:spacing w:line="276" w:lineRule="auto"/>
              <w:ind w:firstLine="0"/>
              <w:jc w:val="center"/>
              <w:rPr>
                <w:szCs w:val="28"/>
                <w:highlight w:val="yellow"/>
                <w:shd w:val="clear" w:color="auto" w:fill="FFFFFF"/>
              </w:rPr>
            </w:pPr>
            <w:r w:rsidRPr="00673D61">
              <w:rPr>
                <w:szCs w:val="28"/>
                <w:shd w:val="clear" w:color="auto" w:fill="FFFFFF"/>
              </w:rPr>
              <w:t>2022 год (оценка)</w:t>
            </w:r>
          </w:p>
        </w:tc>
      </w:tr>
      <w:tr w:rsidR="00534B65" w:rsidRPr="00204763" w:rsidTr="000F5585">
        <w:trPr>
          <w:trHeight w:val="249"/>
          <w:tblHeader/>
          <w:jc w:val="center"/>
        </w:trPr>
        <w:tc>
          <w:tcPr>
            <w:tcW w:w="3671" w:type="dxa"/>
            <w:vMerge/>
            <w:tcBorders>
              <w:top w:val="single" w:sz="4" w:space="0" w:color="000000"/>
              <w:left w:val="single" w:sz="4" w:space="0" w:color="000000"/>
              <w:bottom w:val="single" w:sz="4" w:space="0" w:color="000000"/>
            </w:tcBorders>
          </w:tcPr>
          <w:p w:rsidR="00534B65" w:rsidRPr="00780B0F" w:rsidRDefault="00534B65" w:rsidP="000F5585">
            <w:pPr>
              <w:pStyle w:val="aff0"/>
              <w:spacing w:line="276" w:lineRule="auto"/>
              <w:rPr>
                <w:szCs w:val="28"/>
                <w:shd w:val="clear" w:color="auto" w:fill="FFFFFF"/>
              </w:rPr>
            </w:pPr>
          </w:p>
        </w:tc>
        <w:tc>
          <w:tcPr>
            <w:tcW w:w="1417" w:type="dxa"/>
            <w:vMerge/>
            <w:tcBorders>
              <w:top w:val="single" w:sz="4" w:space="0" w:color="000000"/>
              <w:left w:val="single" w:sz="4" w:space="0" w:color="000000"/>
              <w:bottom w:val="single" w:sz="4" w:space="0" w:color="000000"/>
            </w:tcBorders>
          </w:tcPr>
          <w:p w:rsidR="00534B65" w:rsidRPr="00780B0F" w:rsidRDefault="00534B65" w:rsidP="000F5585">
            <w:pPr>
              <w:pStyle w:val="aff0"/>
              <w:spacing w:line="276" w:lineRule="auto"/>
              <w:rPr>
                <w:szCs w:val="28"/>
                <w:shd w:val="clear" w:color="auto" w:fill="FFFFFF"/>
              </w:rPr>
            </w:pPr>
          </w:p>
        </w:tc>
        <w:tc>
          <w:tcPr>
            <w:tcW w:w="1418" w:type="dxa"/>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hanging="1"/>
              <w:jc w:val="center"/>
              <w:rPr>
                <w:szCs w:val="28"/>
                <w:shd w:val="clear" w:color="auto" w:fill="FFFFFF"/>
              </w:rPr>
            </w:pPr>
            <w:r w:rsidRPr="00780B0F">
              <w:rPr>
                <w:szCs w:val="28"/>
                <w:shd w:val="clear" w:color="auto" w:fill="FFFFFF"/>
              </w:rPr>
              <w:t>1 вариант</w:t>
            </w:r>
          </w:p>
          <w:p w:rsidR="00534B65" w:rsidRPr="00780B0F" w:rsidRDefault="00534B65" w:rsidP="000F5585">
            <w:pPr>
              <w:pStyle w:val="aff0"/>
              <w:spacing w:line="276" w:lineRule="auto"/>
              <w:ind w:hanging="1"/>
              <w:jc w:val="center"/>
              <w:rPr>
                <w:szCs w:val="28"/>
                <w:shd w:val="clear" w:color="auto" w:fill="FFFFFF"/>
              </w:rPr>
            </w:pPr>
          </w:p>
        </w:tc>
        <w:tc>
          <w:tcPr>
            <w:tcW w:w="1417" w:type="dxa"/>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hanging="109"/>
              <w:jc w:val="center"/>
              <w:rPr>
                <w:szCs w:val="28"/>
                <w:shd w:val="clear" w:color="auto" w:fill="FFFFFF"/>
              </w:rPr>
            </w:pPr>
            <w:r w:rsidRPr="00780B0F">
              <w:rPr>
                <w:szCs w:val="28"/>
                <w:shd w:val="clear" w:color="auto" w:fill="FFFFFF"/>
              </w:rPr>
              <w:t>2 вариант</w:t>
            </w:r>
          </w:p>
          <w:p w:rsidR="00534B65" w:rsidRPr="00780B0F" w:rsidRDefault="00534B65" w:rsidP="000F5585">
            <w:pPr>
              <w:pStyle w:val="aff0"/>
              <w:spacing w:line="276" w:lineRule="auto"/>
              <w:ind w:hanging="109"/>
              <w:jc w:val="center"/>
              <w:rPr>
                <w:szCs w:val="28"/>
                <w:shd w:val="clear" w:color="auto" w:fill="FFFFFF"/>
              </w:rPr>
            </w:pPr>
          </w:p>
        </w:tc>
        <w:tc>
          <w:tcPr>
            <w:tcW w:w="1400" w:type="dxa"/>
            <w:vMerge/>
            <w:tcBorders>
              <w:top w:val="single" w:sz="4" w:space="0" w:color="000000"/>
              <w:left w:val="single" w:sz="4" w:space="0" w:color="000000"/>
              <w:bottom w:val="single" w:sz="4" w:space="0" w:color="000000"/>
              <w:right w:val="single" w:sz="4" w:space="0" w:color="000000"/>
            </w:tcBorders>
          </w:tcPr>
          <w:p w:rsidR="00534B65" w:rsidRPr="00204763" w:rsidRDefault="00534B65" w:rsidP="000F5585">
            <w:pPr>
              <w:pStyle w:val="aff0"/>
              <w:spacing w:line="276" w:lineRule="auto"/>
              <w:rPr>
                <w:szCs w:val="28"/>
                <w:highlight w:val="yellow"/>
                <w:shd w:val="clear" w:color="auto" w:fill="FFFFFF"/>
              </w:rPr>
            </w:pP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780B0F" w:rsidRDefault="00534B65" w:rsidP="000F5585">
            <w:pPr>
              <w:pStyle w:val="aff0"/>
              <w:spacing w:line="240" w:lineRule="auto"/>
              <w:ind w:firstLine="0"/>
              <w:jc w:val="left"/>
              <w:rPr>
                <w:szCs w:val="28"/>
                <w:shd w:val="clear" w:color="auto" w:fill="FFFFFF"/>
              </w:rPr>
            </w:pPr>
            <w:r w:rsidRPr="00780B0F">
              <w:rPr>
                <w:szCs w:val="28"/>
                <w:shd w:val="clear" w:color="auto" w:fill="FFFFFF"/>
              </w:rPr>
              <w:t xml:space="preserve">Объем инвестиций в основной капитал организаций за счет всех источников финансирования </w:t>
            </w:r>
          </w:p>
        </w:tc>
        <w:tc>
          <w:tcPr>
            <w:tcW w:w="1417" w:type="dxa"/>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firstLine="0"/>
              <w:jc w:val="center"/>
              <w:rPr>
                <w:szCs w:val="28"/>
                <w:shd w:val="clear" w:color="auto" w:fill="FFFFFF"/>
              </w:rPr>
            </w:pPr>
            <w:r w:rsidRPr="00780B0F">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firstLine="0"/>
              <w:jc w:val="center"/>
              <w:rPr>
                <w:szCs w:val="28"/>
                <w:shd w:val="clear" w:color="auto" w:fill="FFFFFF"/>
              </w:rPr>
            </w:pPr>
            <w:r w:rsidRPr="00780B0F">
              <w:rPr>
                <w:szCs w:val="28"/>
                <w:shd w:val="clear" w:color="auto" w:fill="FFFFFF"/>
              </w:rPr>
              <w:t>60 286,0</w:t>
            </w:r>
          </w:p>
        </w:tc>
        <w:tc>
          <w:tcPr>
            <w:tcW w:w="1417" w:type="dxa"/>
            <w:tcBorders>
              <w:top w:val="single" w:sz="4" w:space="0" w:color="000000"/>
              <w:left w:val="single" w:sz="4" w:space="0" w:color="000000"/>
              <w:bottom w:val="single" w:sz="4" w:space="0" w:color="000000"/>
            </w:tcBorders>
            <w:vAlign w:val="center"/>
          </w:tcPr>
          <w:p w:rsidR="00534B65" w:rsidRPr="00780B0F" w:rsidRDefault="00534B65" w:rsidP="000F5585">
            <w:pPr>
              <w:pStyle w:val="aff0"/>
              <w:spacing w:line="276" w:lineRule="auto"/>
              <w:ind w:firstLine="0"/>
              <w:jc w:val="center"/>
              <w:rPr>
                <w:szCs w:val="28"/>
                <w:shd w:val="clear" w:color="auto" w:fill="FFFFFF"/>
              </w:rPr>
            </w:pPr>
            <w:r w:rsidRPr="00780B0F">
              <w:rPr>
                <w:szCs w:val="28"/>
                <w:shd w:val="clear" w:color="auto" w:fill="FFFFFF"/>
              </w:rPr>
              <w:t>62 769,3</w:t>
            </w:r>
          </w:p>
        </w:tc>
        <w:tc>
          <w:tcPr>
            <w:tcW w:w="1400" w:type="dxa"/>
            <w:tcBorders>
              <w:top w:val="single" w:sz="4" w:space="0" w:color="000000"/>
              <w:left w:val="single" w:sz="4" w:space="0" w:color="000000"/>
              <w:bottom w:val="single" w:sz="4" w:space="0" w:color="000000"/>
              <w:right w:val="single" w:sz="4" w:space="0" w:color="000000"/>
            </w:tcBorders>
            <w:vAlign w:val="center"/>
          </w:tcPr>
          <w:p w:rsidR="00534B65" w:rsidRPr="00204763" w:rsidRDefault="00534B65" w:rsidP="000F5585">
            <w:pPr>
              <w:pStyle w:val="aff0"/>
              <w:spacing w:line="276" w:lineRule="auto"/>
              <w:ind w:firstLine="0"/>
              <w:jc w:val="center"/>
              <w:rPr>
                <w:szCs w:val="28"/>
                <w:highlight w:val="yellow"/>
                <w:shd w:val="clear" w:color="auto" w:fill="FFFFFF"/>
              </w:rPr>
            </w:pPr>
            <w:r w:rsidRPr="0064247B">
              <w:rPr>
                <w:szCs w:val="28"/>
                <w:shd w:val="clear" w:color="auto" w:fill="FFFFFF"/>
              </w:rPr>
              <w:t>60</w:t>
            </w:r>
            <w:r>
              <w:rPr>
                <w:szCs w:val="28"/>
                <w:shd w:val="clear" w:color="auto" w:fill="FFFFFF"/>
              </w:rPr>
              <w:t xml:space="preserve"> </w:t>
            </w:r>
            <w:r w:rsidRPr="0064247B">
              <w:rPr>
                <w:szCs w:val="28"/>
                <w:shd w:val="clear" w:color="auto" w:fill="FFFFFF"/>
              </w:rPr>
              <w:t>364,0</w:t>
            </w: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673D61" w:rsidRDefault="00534B65" w:rsidP="000F5585">
            <w:pPr>
              <w:pStyle w:val="aff0"/>
              <w:spacing w:line="240" w:lineRule="auto"/>
              <w:ind w:firstLine="0"/>
              <w:jc w:val="left"/>
              <w:rPr>
                <w:szCs w:val="28"/>
                <w:shd w:val="clear" w:color="auto" w:fill="FFFFFF"/>
              </w:rPr>
            </w:pPr>
            <w:r w:rsidRPr="00673D61">
              <w:rPr>
                <w:szCs w:val="28"/>
                <w:shd w:val="clear" w:color="auto" w:fill="FFFFFF"/>
              </w:rPr>
              <w:t>Индекс физического объема инвестиций в основной капитал</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w:t>
            </w:r>
          </w:p>
        </w:tc>
        <w:tc>
          <w:tcPr>
            <w:tcW w:w="1418"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100,9</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105,2</w:t>
            </w:r>
          </w:p>
        </w:tc>
        <w:tc>
          <w:tcPr>
            <w:tcW w:w="1400" w:type="dxa"/>
            <w:tcBorders>
              <w:top w:val="single" w:sz="4" w:space="0" w:color="000000"/>
              <w:left w:val="single" w:sz="4" w:space="0" w:color="000000"/>
              <w:bottom w:val="single" w:sz="4" w:space="0" w:color="000000"/>
              <w:right w:val="single" w:sz="4" w:space="0" w:color="000000"/>
            </w:tcBorders>
            <w:vAlign w:val="center"/>
          </w:tcPr>
          <w:p w:rsidR="00534B65" w:rsidRPr="00204763" w:rsidRDefault="00534B65" w:rsidP="002515AD">
            <w:pPr>
              <w:pStyle w:val="aff0"/>
              <w:spacing w:line="276" w:lineRule="auto"/>
              <w:ind w:firstLine="0"/>
              <w:jc w:val="center"/>
              <w:rPr>
                <w:szCs w:val="28"/>
                <w:highlight w:val="yellow"/>
                <w:shd w:val="clear" w:color="auto" w:fill="FFFFFF"/>
              </w:rPr>
            </w:pPr>
            <w:r w:rsidRPr="0064247B">
              <w:rPr>
                <w:szCs w:val="28"/>
                <w:shd w:val="clear" w:color="auto" w:fill="FFFFFF"/>
              </w:rPr>
              <w:t>90,</w:t>
            </w:r>
            <w:r w:rsidR="002515AD">
              <w:rPr>
                <w:szCs w:val="28"/>
                <w:shd w:val="clear" w:color="auto" w:fill="FFFFFF"/>
              </w:rPr>
              <w:t>5</w:t>
            </w: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673D61" w:rsidRDefault="00534B65" w:rsidP="000F5585">
            <w:pPr>
              <w:pStyle w:val="aff0"/>
              <w:spacing w:line="240" w:lineRule="auto"/>
              <w:ind w:firstLine="0"/>
              <w:jc w:val="left"/>
              <w:rPr>
                <w:szCs w:val="28"/>
                <w:shd w:val="clear" w:color="auto" w:fill="FFFFFF"/>
              </w:rPr>
            </w:pPr>
            <w:r w:rsidRPr="00673D61">
              <w:rPr>
                <w:szCs w:val="28"/>
                <w:shd w:val="clear" w:color="auto" w:fill="FFFFFF"/>
              </w:rPr>
              <w:t xml:space="preserve">Инвестиции за счет собственных средств </w:t>
            </w:r>
          </w:p>
        </w:tc>
        <w:tc>
          <w:tcPr>
            <w:tcW w:w="1417" w:type="dxa"/>
            <w:tcBorders>
              <w:top w:val="single" w:sz="4" w:space="0" w:color="000000"/>
              <w:left w:val="single" w:sz="4" w:space="0" w:color="000000"/>
              <w:bottom w:val="single" w:sz="4" w:space="0" w:color="000000"/>
            </w:tcBorders>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32 554,5</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33 456,0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B65" w:rsidRPr="0064247B" w:rsidRDefault="00534B65" w:rsidP="000F5585">
            <w:pPr>
              <w:pStyle w:val="aff0"/>
              <w:spacing w:line="276" w:lineRule="auto"/>
              <w:ind w:firstLine="0"/>
              <w:jc w:val="center"/>
              <w:rPr>
                <w:szCs w:val="28"/>
                <w:shd w:val="clear" w:color="auto" w:fill="FFFFFF"/>
              </w:rPr>
            </w:pPr>
            <w:r w:rsidRPr="0064247B">
              <w:rPr>
                <w:szCs w:val="28"/>
                <w:shd w:val="clear" w:color="auto" w:fill="FFFFFF"/>
              </w:rPr>
              <w:t>48 291,2</w:t>
            </w: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673D61" w:rsidRDefault="00534B65" w:rsidP="000F5585">
            <w:pPr>
              <w:pStyle w:val="aff0"/>
              <w:spacing w:line="240" w:lineRule="auto"/>
              <w:ind w:firstLine="0"/>
              <w:jc w:val="left"/>
              <w:rPr>
                <w:szCs w:val="28"/>
                <w:shd w:val="clear" w:color="auto" w:fill="FFFFFF"/>
              </w:rPr>
            </w:pPr>
            <w:r w:rsidRPr="00673D61">
              <w:rPr>
                <w:szCs w:val="28"/>
                <w:shd w:val="clear" w:color="auto" w:fill="FFFFFF"/>
              </w:rPr>
              <w:t>Инвестиции за счет привлеченных средств</w:t>
            </w:r>
          </w:p>
        </w:tc>
        <w:tc>
          <w:tcPr>
            <w:tcW w:w="1417" w:type="dxa"/>
            <w:tcBorders>
              <w:top w:val="single" w:sz="4" w:space="0" w:color="000000"/>
              <w:left w:val="single" w:sz="4" w:space="0" w:color="000000"/>
              <w:bottom w:val="single" w:sz="4" w:space="0" w:color="000000"/>
            </w:tcBorders>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27 731,5</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29</w:t>
            </w:r>
            <w:r w:rsidR="00714686">
              <w:rPr>
                <w:szCs w:val="28"/>
                <w:shd w:val="clear" w:color="auto" w:fill="FFFFFF"/>
              </w:rPr>
              <w:t xml:space="preserve"> </w:t>
            </w:r>
            <w:r w:rsidRPr="00673D61">
              <w:rPr>
                <w:szCs w:val="28"/>
                <w:shd w:val="clear" w:color="auto" w:fill="FFFFFF"/>
              </w:rPr>
              <w:t>313,3</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B65" w:rsidRPr="0064247B" w:rsidRDefault="00534B65" w:rsidP="000F5585">
            <w:pPr>
              <w:pStyle w:val="aff0"/>
              <w:spacing w:line="276" w:lineRule="auto"/>
              <w:ind w:firstLine="0"/>
              <w:jc w:val="center"/>
              <w:rPr>
                <w:szCs w:val="28"/>
                <w:shd w:val="clear" w:color="auto" w:fill="FFFFFF"/>
              </w:rPr>
            </w:pPr>
            <w:r w:rsidRPr="0064247B">
              <w:rPr>
                <w:szCs w:val="28"/>
                <w:shd w:val="clear" w:color="auto" w:fill="FFFFFF"/>
              </w:rPr>
              <w:t>12 072,8</w:t>
            </w: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673D61" w:rsidRDefault="00534B65" w:rsidP="000F5585">
            <w:pPr>
              <w:pStyle w:val="aff0"/>
              <w:spacing w:line="240" w:lineRule="auto"/>
              <w:ind w:firstLine="0"/>
              <w:jc w:val="left"/>
              <w:rPr>
                <w:szCs w:val="28"/>
                <w:shd w:val="clear" w:color="auto" w:fill="FFFFFF"/>
              </w:rPr>
            </w:pPr>
            <w:r w:rsidRPr="00673D61">
              <w:rPr>
                <w:szCs w:val="28"/>
                <w:shd w:val="clear" w:color="auto" w:fill="FFFFFF"/>
              </w:rPr>
              <w:t>Инвестиции за счет средств федерального бюджета</w:t>
            </w:r>
          </w:p>
        </w:tc>
        <w:tc>
          <w:tcPr>
            <w:tcW w:w="1417" w:type="dxa"/>
            <w:tcBorders>
              <w:top w:val="single" w:sz="4" w:space="0" w:color="000000"/>
              <w:left w:val="single" w:sz="4" w:space="0" w:color="000000"/>
              <w:bottom w:val="single" w:sz="4" w:space="0" w:color="000000"/>
            </w:tcBorders>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1 465,0</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1 530,9</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B65" w:rsidRPr="0064247B" w:rsidRDefault="00534B65" w:rsidP="000F5585">
            <w:pPr>
              <w:pStyle w:val="aff0"/>
              <w:spacing w:line="276" w:lineRule="auto"/>
              <w:ind w:firstLine="0"/>
              <w:jc w:val="center"/>
              <w:rPr>
                <w:szCs w:val="28"/>
                <w:shd w:val="clear" w:color="auto" w:fill="FFFFFF"/>
              </w:rPr>
            </w:pPr>
            <w:r w:rsidRPr="0064247B">
              <w:rPr>
                <w:szCs w:val="28"/>
                <w:shd w:val="clear" w:color="auto" w:fill="FFFFFF"/>
              </w:rPr>
              <w:t>1 473,0</w:t>
            </w: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673D61" w:rsidRDefault="00534B65" w:rsidP="000F5585">
            <w:pPr>
              <w:pStyle w:val="aff0"/>
              <w:spacing w:line="240" w:lineRule="auto"/>
              <w:ind w:firstLine="0"/>
              <w:jc w:val="left"/>
              <w:rPr>
                <w:szCs w:val="28"/>
                <w:shd w:val="clear" w:color="auto" w:fill="FFFFFF"/>
              </w:rPr>
            </w:pPr>
            <w:r w:rsidRPr="00673D61">
              <w:rPr>
                <w:szCs w:val="28"/>
                <w:shd w:val="clear" w:color="auto" w:fill="FFFFFF"/>
              </w:rPr>
              <w:t>Инвестиции за счет средств областного бюджета</w:t>
            </w:r>
          </w:p>
        </w:tc>
        <w:tc>
          <w:tcPr>
            <w:tcW w:w="1417" w:type="dxa"/>
            <w:tcBorders>
              <w:top w:val="single" w:sz="4" w:space="0" w:color="000000"/>
              <w:left w:val="single" w:sz="4" w:space="0" w:color="000000"/>
              <w:bottom w:val="single" w:sz="4" w:space="0" w:color="000000"/>
            </w:tcBorders>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2 052,5</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2 140,7</w:t>
            </w:r>
          </w:p>
        </w:tc>
        <w:tc>
          <w:tcPr>
            <w:tcW w:w="1400" w:type="dxa"/>
            <w:tcBorders>
              <w:top w:val="single" w:sz="4" w:space="0" w:color="000000"/>
              <w:left w:val="single" w:sz="4" w:space="0" w:color="000000"/>
              <w:bottom w:val="single" w:sz="4" w:space="0" w:color="000000"/>
              <w:right w:val="single" w:sz="4" w:space="0" w:color="000000"/>
            </w:tcBorders>
            <w:vAlign w:val="center"/>
          </w:tcPr>
          <w:p w:rsidR="00534B65" w:rsidRPr="0064247B" w:rsidRDefault="00534B65" w:rsidP="000F5585">
            <w:pPr>
              <w:pStyle w:val="aff0"/>
              <w:spacing w:line="276" w:lineRule="auto"/>
              <w:ind w:firstLine="0"/>
              <w:jc w:val="center"/>
              <w:rPr>
                <w:szCs w:val="28"/>
                <w:shd w:val="clear" w:color="auto" w:fill="FFFFFF"/>
              </w:rPr>
            </w:pPr>
            <w:r w:rsidRPr="0064247B">
              <w:rPr>
                <w:szCs w:val="28"/>
                <w:shd w:val="clear" w:color="auto" w:fill="FFFFFF"/>
              </w:rPr>
              <w:t>4 212,0</w:t>
            </w:r>
          </w:p>
        </w:tc>
      </w:tr>
      <w:tr w:rsidR="00534B65" w:rsidRPr="00204763" w:rsidTr="000F5585">
        <w:trPr>
          <w:jc w:val="center"/>
        </w:trPr>
        <w:tc>
          <w:tcPr>
            <w:tcW w:w="3671" w:type="dxa"/>
            <w:tcBorders>
              <w:top w:val="single" w:sz="4" w:space="0" w:color="000000"/>
              <w:left w:val="single" w:sz="4" w:space="0" w:color="000000"/>
              <w:bottom w:val="single" w:sz="4" w:space="0" w:color="000000"/>
            </w:tcBorders>
          </w:tcPr>
          <w:p w:rsidR="00534B65" w:rsidRPr="00673D61" w:rsidRDefault="00534B65" w:rsidP="000F5585">
            <w:pPr>
              <w:pStyle w:val="aff0"/>
              <w:spacing w:line="240" w:lineRule="auto"/>
              <w:ind w:firstLine="0"/>
              <w:jc w:val="left"/>
              <w:rPr>
                <w:szCs w:val="28"/>
                <w:shd w:val="clear" w:color="auto" w:fill="FFFFFF"/>
              </w:rPr>
            </w:pPr>
            <w:r w:rsidRPr="00673D61">
              <w:rPr>
                <w:szCs w:val="28"/>
                <w:shd w:val="clear" w:color="auto" w:fill="FFFFFF"/>
              </w:rPr>
              <w:t>Инвестиции за счет средств бюджета городского округа</w:t>
            </w:r>
          </w:p>
        </w:tc>
        <w:tc>
          <w:tcPr>
            <w:tcW w:w="1417" w:type="dxa"/>
            <w:tcBorders>
              <w:top w:val="single" w:sz="4" w:space="0" w:color="000000"/>
              <w:left w:val="single" w:sz="4" w:space="0" w:color="000000"/>
              <w:bottom w:val="single" w:sz="4" w:space="0" w:color="000000"/>
            </w:tcBorders>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297,6</w:t>
            </w:r>
          </w:p>
        </w:tc>
        <w:tc>
          <w:tcPr>
            <w:tcW w:w="1417" w:type="dxa"/>
            <w:tcBorders>
              <w:top w:val="single" w:sz="4" w:space="0" w:color="000000"/>
              <w:left w:val="single" w:sz="4" w:space="0" w:color="000000"/>
              <w:bottom w:val="single" w:sz="4" w:space="0" w:color="000000"/>
            </w:tcBorders>
            <w:vAlign w:val="center"/>
          </w:tcPr>
          <w:p w:rsidR="00534B65" w:rsidRPr="00673D61" w:rsidRDefault="00534B65" w:rsidP="000F5585">
            <w:pPr>
              <w:pStyle w:val="aff0"/>
              <w:spacing w:line="276" w:lineRule="auto"/>
              <w:ind w:firstLine="0"/>
              <w:jc w:val="center"/>
              <w:rPr>
                <w:szCs w:val="28"/>
                <w:shd w:val="clear" w:color="auto" w:fill="FFFFFF"/>
              </w:rPr>
            </w:pPr>
            <w:r w:rsidRPr="00673D61">
              <w:rPr>
                <w:szCs w:val="28"/>
                <w:shd w:val="clear" w:color="auto" w:fill="FFFFFF"/>
              </w:rPr>
              <w:t>309,8</w:t>
            </w:r>
          </w:p>
        </w:tc>
        <w:tc>
          <w:tcPr>
            <w:tcW w:w="1400" w:type="dxa"/>
            <w:tcBorders>
              <w:top w:val="single" w:sz="4" w:space="0" w:color="000000"/>
              <w:left w:val="single" w:sz="4" w:space="0" w:color="000000"/>
              <w:bottom w:val="single" w:sz="4" w:space="0" w:color="000000"/>
              <w:right w:val="single" w:sz="4" w:space="0" w:color="000000"/>
            </w:tcBorders>
            <w:vAlign w:val="center"/>
          </w:tcPr>
          <w:p w:rsidR="00534B65" w:rsidRPr="0064247B" w:rsidRDefault="00534B65" w:rsidP="000F5585">
            <w:pPr>
              <w:pStyle w:val="aff0"/>
              <w:spacing w:line="276" w:lineRule="auto"/>
              <w:ind w:firstLine="0"/>
              <w:jc w:val="center"/>
              <w:rPr>
                <w:szCs w:val="28"/>
                <w:shd w:val="clear" w:color="auto" w:fill="FFFFFF"/>
              </w:rPr>
            </w:pPr>
            <w:r w:rsidRPr="0064247B">
              <w:rPr>
                <w:szCs w:val="28"/>
                <w:shd w:val="clear" w:color="auto" w:fill="FFFFFF"/>
              </w:rPr>
              <w:t>230,7</w:t>
            </w:r>
          </w:p>
        </w:tc>
      </w:tr>
    </w:tbl>
    <w:p w:rsidR="00734C0A" w:rsidRDefault="00734C0A" w:rsidP="0024684D">
      <w:pPr>
        <w:pStyle w:val="aff0"/>
        <w:spacing w:line="276" w:lineRule="auto"/>
        <w:rPr>
          <w:szCs w:val="24"/>
        </w:rPr>
      </w:pPr>
    </w:p>
    <w:p w:rsidR="00AB6D17" w:rsidRDefault="00AB6D17" w:rsidP="0024684D">
      <w:pPr>
        <w:pStyle w:val="aff0"/>
        <w:spacing w:line="276" w:lineRule="auto"/>
        <w:rPr>
          <w:szCs w:val="24"/>
        </w:rPr>
      </w:pPr>
      <w:r>
        <w:rPr>
          <w:szCs w:val="24"/>
        </w:rPr>
        <w:t>Оценка темпа роста инвестиций в основной капитал скорректирована в сторону снижения ввиду значительного роста индекса-дефлятора инвестиций в основной капитал.</w:t>
      </w:r>
    </w:p>
    <w:p w:rsidR="00534B65" w:rsidRDefault="00534B65" w:rsidP="0024684D">
      <w:pPr>
        <w:pStyle w:val="aff0"/>
        <w:spacing w:line="276" w:lineRule="auto"/>
        <w:rPr>
          <w:szCs w:val="24"/>
        </w:rPr>
      </w:pPr>
      <w:r w:rsidRPr="004F5DCE">
        <w:rPr>
          <w:szCs w:val="24"/>
        </w:rPr>
        <w:t>С учетом негативных внешних и внутренних факторов – ограничени</w:t>
      </w:r>
      <w:r w:rsidR="00310248">
        <w:rPr>
          <w:szCs w:val="24"/>
        </w:rPr>
        <w:t xml:space="preserve">я </w:t>
      </w:r>
      <w:r w:rsidRPr="004F5DCE">
        <w:rPr>
          <w:szCs w:val="24"/>
        </w:rPr>
        <w:t>доступа к внешнему финансированию</w:t>
      </w:r>
      <w:r w:rsidRPr="00BB148B">
        <w:rPr>
          <w:szCs w:val="24"/>
        </w:rPr>
        <w:t>, рост стоимости банковских кредитов,</w:t>
      </w:r>
      <w:r w:rsidRPr="004F5DCE">
        <w:rPr>
          <w:szCs w:val="24"/>
        </w:rPr>
        <w:t xml:space="preserve"> удорожание импортируемых инвестиционных товаров, вызвавших </w:t>
      </w:r>
      <w:r w:rsidRPr="00FB437C">
        <w:rPr>
          <w:szCs w:val="24"/>
        </w:rPr>
        <w:t>неопределенность и экономическую неуверенность инвесторов,</w:t>
      </w:r>
      <w:r>
        <w:rPr>
          <w:szCs w:val="24"/>
        </w:rPr>
        <w:t xml:space="preserve"> скорректирован объем инвестиций по источникам финансирования в сторону увеличения доли собственных средств предприятий (за </w:t>
      </w:r>
      <w:r w:rsidR="00D10EC9">
        <w:rPr>
          <w:szCs w:val="24"/>
          <w:lang w:val="en-US"/>
        </w:rPr>
        <w:t>I</w:t>
      </w:r>
      <w:r>
        <w:rPr>
          <w:szCs w:val="24"/>
        </w:rPr>
        <w:t xml:space="preserve"> полугодие 2022 года их доля составила 81,1% от общего объема инвестиций, по оценке за 2022 год может составить 80%).</w:t>
      </w:r>
    </w:p>
    <w:p w:rsidR="00534B65" w:rsidRDefault="00534B65" w:rsidP="0024684D">
      <w:pPr>
        <w:pStyle w:val="aff0"/>
        <w:spacing w:line="276" w:lineRule="auto"/>
        <w:rPr>
          <w:szCs w:val="28"/>
          <w:shd w:val="clear" w:color="auto" w:fill="FFFFFF"/>
        </w:rPr>
      </w:pPr>
      <w:r w:rsidRPr="007775B4">
        <w:rPr>
          <w:szCs w:val="28"/>
          <w:shd w:val="clear" w:color="auto" w:fill="FFFFFF"/>
        </w:rPr>
        <w:t>На основании фактически сложившихся значений бюджетных инвестиций</w:t>
      </w:r>
      <w:r>
        <w:rPr>
          <w:szCs w:val="28"/>
          <w:shd w:val="clear" w:color="auto" w:fill="FFFFFF"/>
        </w:rPr>
        <w:t xml:space="preserve"> </w:t>
      </w:r>
      <w:r w:rsidRPr="007775B4">
        <w:rPr>
          <w:szCs w:val="28"/>
          <w:shd w:val="clear" w:color="auto" w:fill="FFFFFF"/>
        </w:rPr>
        <w:t>за счет средств областного бюджета за 2021 год</w:t>
      </w:r>
      <w:r>
        <w:rPr>
          <w:szCs w:val="28"/>
          <w:shd w:val="clear" w:color="auto" w:fill="FFFFFF"/>
        </w:rPr>
        <w:t xml:space="preserve"> (рост на 45,3% относительно 2020 года)</w:t>
      </w:r>
      <w:r w:rsidRPr="007775B4">
        <w:rPr>
          <w:szCs w:val="28"/>
          <w:shd w:val="clear" w:color="auto" w:fill="FFFFFF"/>
        </w:rPr>
        <w:t xml:space="preserve"> и </w:t>
      </w:r>
      <w:r w:rsidR="00D10EC9">
        <w:rPr>
          <w:szCs w:val="28"/>
          <w:shd w:val="clear" w:color="auto" w:fill="FFFFFF"/>
          <w:lang w:val="en-US"/>
        </w:rPr>
        <w:t>I</w:t>
      </w:r>
      <w:r w:rsidRPr="007775B4">
        <w:rPr>
          <w:szCs w:val="28"/>
          <w:shd w:val="clear" w:color="auto" w:fill="FFFFFF"/>
        </w:rPr>
        <w:t xml:space="preserve"> полугоди</w:t>
      </w:r>
      <w:r w:rsidR="00310248">
        <w:rPr>
          <w:szCs w:val="28"/>
          <w:shd w:val="clear" w:color="auto" w:fill="FFFFFF"/>
        </w:rPr>
        <w:t>я</w:t>
      </w:r>
      <w:r w:rsidRPr="007775B4">
        <w:rPr>
          <w:szCs w:val="28"/>
          <w:shd w:val="clear" w:color="auto" w:fill="FFFFFF"/>
        </w:rPr>
        <w:t xml:space="preserve"> 2022 года</w:t>
      </w:r>
      <w:r>
        <w:rPr>
          <w:szCs w:val="28"/>
          <w:shd w:val="clear" w:color="auto" w:fill="FFFFFF"/>
        </w:rPr>
        <w:t xml:space="preserve"> (рост в 2,9 раза относительно января-июня 2021 года)</w:t>
      </w:r>
      <w:r w:rsidRPr="007775B4">
        <w:rPr>
          <w:szCs w:val="28"/>
          <w:shd w:val="clear" w:color="auto" w:fill="FFFFFF"/>
        </w:rPr>
        <w:t>, а также плановых сумм бюджетных инвестиций, скорректирована оценка 2022 года в сторону увеличения относительно прошлогоднего прогноза.</w:t>
      </w:r>
    </w:p>
    <w:p w:rsidR="00534B65" w:rsidRPr="007775B4" w:rsidRDefault="00534B65" w:rsidP="0024684D">
      <w:pPr>
        <w:pStyle w:val="aff0"/>
        <w:spacing w:line="276" w:lineRule="auto"/>
        <w:rPr>
          <w:szCs w:val="28"/>
          <w:shd w:val="clear" w:color="auto" w:fill="FFFFFF"/>
        </w:rPr>
      </w:pPr>
      <w:r w:rsidRPr="008F4C54">
        <w:rPr>
          <w:szCs w:val="28"/>
          <w:shd w:val="clear" w:color="auto" w:fill="FFFFFF"/>
        </w:rPr>
        <w:t>Вместе с тем, скорректирована оценка 2022 года в сторону уменьшения бюджетных инвестиций за счет средств местного бюджета относительно прошлогоднего прогноза на основании фактических значений за 2021 год (снижение на 15,4% относительно 2020 года), а также плановых сумм бюджетных инвестиций.</w:t>
      </w:r>
    </w:p>
    <w:p w:rsidR="00534B65" w:rsidRPr="00CF10FB" w:rsidRDefault="00534B65" w:rsidP="0024684D">
      <w:pPr>
        <w:pStyle w:val="aff0"/>
        <w:spacing w:line="276" w:lineRule="auto"/>
        <w:rPr>
          <w:szCs w:val="28"/>
          <w:shd w:val="clear" w:color="auto" w:fill="FFFFFF"/>
        </w:rPr>
      </w:pPr>
      <w:r w:rsidRPr="00BF0F7B">
        <w:rPr>
          <w:szCs w:val="28"/>
          <w:shd w:val="clear" w:color="auto" w:fill="FFFFFF"/>
        </w:rPr>
        <w:t>Несмотря на снижение инвестиционной деятельности объем строительных работ по крупным и средним предприятиям на территории городского округа Тольятти в январе-июне 2022 года увеличился в 2,1 раза относительно января-июня предыдущего года и составил 3 857,9 млн. руб.</w:t>
      </w:r>
    </w:p>
    <w:p w:rsidR="00CD713B" w:rsidRPr="00CD713B" w:rsidRDefault="00CD713B" w:rsidP="0024684D">
      <w:pPr>
        <w:pStyle w:val="aff0"/>
        <w:spacing w:line="276" w:lineRule="auto"/>
        <w:rPr>
          <w:szCs w:val="28"/>
          <w:shd w:val="clear" w:color="auto" w:fill="FFFFFF"/>
        </w:rPr>
      </w:pPr>
      <w:r w:rsidRPr="00CD713B">
        <w:rPr>
          <w:szCs w:val="28"/>
          <w:shd w:val="clear" w:color="auto" w:fill="FFFFFF"/>
        </w:rPr>
        <w:t xml:space="preserve">В январе – июне 2022 года организациями всех форм собственности, а также населением за счет собственных и заемных средств, введено в действие 149 зданий жилого назначения. По сравнению с </w:t>
      </w:r>
      <w:r w:rsidRPr="00CD713B">
        <w:rPr>
          <w:szCs w:val="28"/>
          <w:shd w:val="clear" w:color="auto" w:fill="FFFFFF"/>
          <w:lang w:val="en-US"/>
        </w:rPr>
        <w:t>I</w:t>
      </w:r>
      <w:r w:rsidRPr="00CD713B">
        <w:rPr>
          <w:szCs w:val="28"/>
          <w:shd w:val="clear" w:color="auto" w:fill="FFFFFF"/>
        </w:rPr>
        <w:t xml:space="preserve"> полугодием 2021 года количество введенных зданий увеличилось на 49 домов, а их общая площадь, напротив, сократилась на 42 тыс. кв. м.</w:t>
      </w:r>
    </w:p>
    <w:p w:rsidR="00CD713B" w:rsidRPr="00CD713B" w:rsidRDefault="00CD713B" w:rsidP="0024684D">
      <w:pPr>
        <w:widowControl w:val="0"/>
        <w:spacing w:line="276" w:lineRule="auto"/>
        <w:rPr>
          <w:sz w:val="28"/>
          <w:szCs w:val="28"/>
          <w:shd w:val="clear" w:color="auto" w:fill="FFFFFF"/>
        </w:rPr>
      </w:pPr>
      <w:r w:rsidRPr="00CD713B">
        <w:rPr>
          <w:sz w:val="28"/>
          <w:szCs w:val="28"/>
          <w:shd w:val="clear" w:color="auto" w:fill="FFFFFF"/>
        </w:rPr>
        <w:t>В I полугодии 2022 года в городском округе Тольятти введено в действие 41,9 тыс. кв. м общей площади жилых домов (квартир) (на 33,9% ниже аналогичного периода 2021 года), что связано с ростом издержек застройщиков и замедлением динамики жилищного строительства на фоне высоких процентных ставок по кредитам и сокращения реальных доходов населения.</w:t>
      </w:r>
    </w:p>
    <w:p w:rsidR="00CD713B" w:rsidRPr="00CD713B" w:rsidRDefault="00CD713B" w:rsidP="0024684D">
      <w:pPr>
        <w:pStyle w:val="aff0"/>
        <w:spacing w:line="276" w:lineRule="auto"/>
        <w:rPr>
          <w:rFonts w:eastAsiaTheme="minorEastAsia"/>
          <w:szCs w:val="28"/>
          <w:lang w:eastAsia="ru-RU"/>
        </w:rPr>
      </w:pPr>
      <w:r w:rsidRPr="00CD713B">
        <w:rPr>
          <w:rFonts w:eastAsiaTheme="minorEastAsia"/>
          <w:szCs w:val="28"/>
          <w:lang w:eastAsia="ru-RU"/>
        </w:rPr>
        <w:t>Из общего объема строительства организациями построено 2 жилых дома на 271 квартиру (в январе – июне 2021 года введено в эксплуатацию 7 жилых дом</w:t>
      </w:r>
      <w:r w:rsidR="00310248">
        <w:rPr>
          <w:rFonts w:eastAsiaTheme="minorEastAsia"/>
          <w:szCs w:val="28"/>
          <w:lang w:eastAsia="ru-RU"/>
        </w:rPr>
        <w:t>ов</w:t>
      </w:r>
      <w:r w:rsidRPr="00CD713B">
        <w:rPr>
          <w:rFonts w:eastAsiaTheme="minorEastAsia"/>
          <w:szCs w:val="28"/>
          <w:lang w:eastAsia="ru-RU"/>
        </w:rPr>
        <w:t xml:space="preserve"> на 856 квартир).</w:t>
      </w:r>
    </w:p>
    <w:p w:rsidR="00CD713B" w:rsidRDefault="00CD713B" w:rsidP="0024684D">
      <w:pPr>
        <w:pStyle w:val="aff0"/>
        <w:spacing w:line="276" w:lineRule="auto"/>
        <w:rPr>
          <w:szCs w:val="28"/>
          <w:shd w:val="clear" w:color="auto" w:fill="FFFFFF"/>
        </w:rPr>
      </w:pPr>
      <w:r w:rsidRPr="00CD713B">
        <w:rPr>
          <w:szCs w:val="28"/>
          <w:shd w:val="clear" w:color="auto" w:fill="FFFFFF"/>
        </w:rPr>
        <w:t xml:space="preserve">По данным Самарастата, средняя стоимость строительства 1 кв. м общей площади жилых домов квартирного типа без пристроек, надстроек и </w:t>
      </w:r>
      <w:r w:rsidRPr="00583CB3">
        <w:rPr>
          <w:szCs w:val="28"/>
          <w:shd w:val="clear" w:color="auto" w:fill="FFFFFF"/>
        </w:rPr>
        <w:t xml:space="preserve">встроенных помещений (без построенных населением) по Самарской области </w:t>
      </w:r>
      <w:r w:rsidRPr="00763816">
        <w:rPr>
          <w:szCs w:val="28"/>
          <w:shd w:val="clear" w:color="auto" w:fill="FFFFFF"/>
        </w:rPr>
        <w:t>составила 37 931 рубль (в 2021 году – 48 294 рубля), по городскому округу Тольятти – 38 181 рубль (в 2021 году – 40 957 рублей).</w:t>
      </w:r>
      <w:r>
        <w:rPr>
          <w:szCs w:val="28"/>
          <w:shd w:val="clear" w:color="auto" w:fill="FFFFFF"/>
        </w:rPr>
        <w:t xml:space="preserve"> </w:t>
      </w:r>
    </w:p>
    <w:p w:rsidR="00CD713B" w:rsidRPr="00CD713B" w:rsidRDefault="00CD713B" w:rsidP="0024684D">
      <w:pPr>
        <w:pStyle w:val="aff0"/>
        <w:spacing w:line="276" w:lineRule="auto"/>
        <w:rPr>
          <w:szCs w:val="28"/>
          <w:shd w:val="clear" w:color="auto" w:fill="FFFFFF"/>
        </w:rPr>
      </w:pPr>
      <w:r w:rsidRPr="00CD713B">
        <w:rPr>
          <w:szCs w:val="28"/>
          <w:shd w:val="clear" w:color="auto" w:fill="FFFFFF"/>
        </w:rPr>
        <w:t xml:space="preserve">Населением города за свой счет и с помощью кредитов в отчетном периоде построено 147 индивидуальных жилых домов на 16,3 тыс. кв. м общей площади. По сравнению с </w:t>
      </w:r>
      <w:r w:rsidRPr="00CD713B">
        <w:rPr>
          <w:szCs w:val="28"/>
          <w:shd w:val="clear" w:color="auto" w:fill="FFFFFF"/>
          <w:lang w:val="en-US"/>
        </w:rPr>
        <w:t>I</w:t>
      </w:r>
      <w:r w:rsidRPr="00CD713B">
        <w:rPr>
          <w:szCs w:val="28"/>
          <w:shd w:val="clear" w:color="auto" w:fill="FFFFFF"/>
        </w:rPr>
        <w:t xml:space="preserve"> полугодием 2021 года наблюдается увеличение ввода в действие индивидуальных жилых домов (на 67,8%). </w:t>
      </w:r>
    </w:p>
    <w:p w:rsidR="00CD713B" w:rsidRDefault="00CD713B" w:rsidP="0024684D">
      <w:pPr>
        <w:pStyle w:val="aff0"/>
        <w:spacing w:line="276" w:lineRule="auto"/>
        <w:rPr>
          <w:szCs w:val="28"/>
          <w:shd w:val="clear" w:color="auto" w:fill="FFFFFF"/>
        </w:rPr>
      </w:pPr>
      <w:r w:rsidRPr="00CD713B">
        <w:rPr>
          <w:rFonts w:eastAsiaTheme="minorEastAsia"/>
          <w:szCs w:val="28"/>
          <w:lang w:eastAsia="ru-RU"/>
        </w:rPr>
        <w:t xml:space="preserve">В рейтинге городских округов Самарской области по жилищному строительству городской округ Тольятти занял </w:t>
      </w:r>
      <w:r w:rsidR="004729B0">
        <w:rPr>
          <w:rFonts w:eastAsiaTheme="minorEastAsia"/>
          <w:szCs w:val="28"/>
          <w:lang w:eastAsia="ru-RU"/>
        </w:rPr>
        <w:t>второе</w:t>
      </w:r>
      <w:r w:rsidRPr="00CD713B">
        <w:rPr>
          <w:rFonts w:eastAsiaTheme="minorEastAsia"/>
          <w:szCs w:val="28"/>
          <w:lang w:eastAsia="ru-RU"/>
        </w:rPr>
        <w:t xml:space="preserve"> место из </w:t>
      </w:r>
      <w:r w:rsidR="004729B0">
        <w:rPr>
          <w:rFonts w:eastAsiaTheme="minorEastAsia"/>
          <w:szCs w:val="28"/>
          <w:lang w:eastAsia="ru-RU"/>
        </w:rPr>
        <w:t>десяти</w:t>
      </w:r>
      <w:r w:rsidRPr="00CD713B">
        <w:rPr>
          <w:rFonts w:eastAsiaTheme="minorEastAsia"/>
          <w:szCs w:val="28"/>
          <w:lang w:eastAsia="ru-RU"/>
        </w:rPr>
        <w:t>.</w:t>
      </w:r>
      <w:r>
        <w:rPr>
          <w:rFonts w:eastAsiaTheme="minorEastAsia"/>
          <w:szCs w:val="28"/>
          <w:lang w:eastAsia="ru-RU"/>
        </w:rPr>
        <w:t xml:space="preserve"> </w:t>
      </w:r>
      <w:r w:rsidRPr="00823843">
        <w:rPr>
          <w:rFonts w:eastAsiaTheme="minorEastAsia"/>
          <w:szCs w:val="28"/>
          <w:lang w:eastAsia="ru-RU"/>
        </w:rPr>
        <w:t>В рейтинге 15 городов Приволжского федерального округа городской округ Тольятти занял 1</w:t>
      </w:r>
      <w:r w:rsidR="00823843" w:rsidRPr="00823843">
        <w:rPr>
          <w:rFonts w:eastAsiaTheme="minorEastAsia"/>
          <w:szCs w:val="28"/>
          <w:lang w:eastAsia="ru-RU"/>
        </w:rPr>
        <w:t>5</w:t>
      </w:r>
      <w:r w:rsidRPr="00823843">
        <w:rPr>
          <w:rFonts w:eastAsiaTheme="minorEastAsia"/>
          <w:szCs w:val="28"/>
          <w:lang w:eastAsia="ru-RU"/>
        </w:rPr>
        <w:t xml:space="preserve"> место (г.о. Самара на </w:t>
      </w:r>
      <w:r w:rsidR="00823843" w:rsidRPr="00823843">
        <w:rPr>
          <w:rFonts w:eastAsiaTheme="minorEastAsia"/>
          <w:szCs w:val="28"/>
          <w:lang w:eastAsia="ru-RU"/>
        </w:rPr>
        <w:t>6</w:t>
      </w:r>
      <w:r w:rsidRPr="00823843">
        <w:rPr>
          <w:rFonts w:eastAsiaTheme="minorEastAsia"/>
          <w:szCs w:val="28"/>
          <w:lang w:eastAsia="ru-RU"/>
        </w:rPr>
        <w:t xml:space="preserve"> месте </w:t>
      </w:r>
      <w:r w:rsidR="00823843" w:rsidRPr="00823843">
        <w:rPr>
          <w:rFonts w:eastAsiaTheme="minorEastAsia"/>
          <w:szCs w:val="28"/>
          <w:lang w:eastAsia="ru-RU"/>
        </w:rPr>
        <w:t>– 264,0</w:t>
      </w:r>
      <w:r w:rsidRPr="00823843">
        <w:rPr>
          <w:rFonts w:eastAsiaTheme="minorEastAsia"/>
          <w:szCs w:val="28"/>
          <w:lang w:eastAsia="ru-RU"/>
        </w:rPr>
        <w:t xml:space="preserve"> тыс. кв. м).</w:t>
      </w:r>
    </w:p>
    <w:p w:rsidR="00CD713B" w:rsidRPr="00CD713B" w:rsidRDefault="00CD713B" w:rsidP="0024684D">
      <w:pPr>
        <w:widowControl w:val="0"/>
        <w:spacing w:line="276" w:lineRule="auto"/>
        <w:rPr>
          <w:sz w:val="28"/>
          <w:szCs w:val="28"/>
          <w:shd w:val="clear" w:color="auto" w:fill="FFFFFF"/>
        </w:rPr>
      </w:pPr>
      <w:r w:rsidRPr="00CD713B">
        <w:rPr>
          <w:sz w:val="28"/>
          <w:szCs w:val="28"/>
          <w:shd w:val="clear" w:color="auto" w:fill="FFFFFF"/>
        </w:rPr>
        <w:t>В соответствии с соглашением между министерством строительства Самарской области и администрацией городского округа Тольятти об установлении планового задания по вводу жилья для городского округа Тольятти на 2021-2030 годы (далее по разделу – Соглашение), плановое значение показателя по объему введенных жилых домов (квартир) в городском округе Тольятти в 2022 году составляет 177,3 тыс. кв. м общей площади жилья, что на 37,9% выше факта 2021 года.</w:t>
      </w:r>
    </w:p>
    <w:p w:rsidR="00CD713B" w:rsidRPr="00CD713B" w:rsidRDefault="00CD713B" w:rsidP="0024684D">
      <w:pPr>
        <w:spacing w:line="276" w:lineRule="auto"/>
        <w:rPr>
          <w:sz w:val="28"/>
          <w:szCs w:val="28"/>
        </w:rPr>
      </w:pPr>
      <w:r w:rsidRPr="00CD713B">
        <w:rPr>
          <w:sz w:val="28"/>
          <w:szCs w:val="28"/>
        </w:rPr>
        <w:t xml:space="preserve">В 2022 году на сферу строительства городского округа Тольятти и, в частности, застройщиков МКД, продолжается значительное влияние негативных экономических факторов:  </w:t>
      </w:r>
    </w:p>
    <w:p w:rsidR="00CD713B" w:rsidRPr="00CD713B" w:rsidRDefault="00CD713B"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CD713B">
        <w:rPr>
          <w:rFonts w:eastAsiaTheme="minorEastAsia"/>
          <w:sz w:val="28"/>
          <w:szCs w:val="28"/>
          <w:shd w:val="clear" w:color="auto" w:fill="FFFFFF"/>
          <w:lang w:eastAsia="ru-RU"/>
        </w:rPr>
        <w:t>-  дефицит свободных финансовых средств у застройщиков;</w:t>
      </w:r>
    </w:p>
    <w:p w:rsidR="00CD713B" w:rsidRPr="00CD713B" w:rsidRDefault="00CD713B"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CD713B">
        <w:rPr>
          <w:rFonts w:eastAsiaTheme="minorEastAsia"/>
          <w:sz w:val="28"/>
          <w:szCs w:val="28"/>
          <w:shd w:val="clear" w:color="auto" w:fill="FFFFFF"/>
          <w:lang w:eastAsia="ru-RU"/>
        </w:rPr>
        <w:t>- отсутствие полного пакета документов о получении разрешения на строительство;</w:t>
      </w:r>
    </w:p>
    <w:p w:rsidR="00CD713B" w:rsidRPr="00CD713B" w:rsidRDefault="00CD713B"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CD713B">
        <w:rPr>
          <w:rFonts w:eastAsiaTheme="minorEastAsia"/>
          <w:sz w:val="28"/>
          <w:szCs w:val="28"/>
          <w:shd w:val="clear" w:color="auto" w:fill="FFFFFF"/>
          <w:lang w:eastAsia="ru-RU"/>
        </w:rPr>
        <w:t>- высокий уровень платы за подключение новых объектов строительства к инженерным сетям;</w:t>
      </w:r>
    </w:p>
    <w:p w:rsidR="00CD713B" w:rsidRPr="00FA44A8" w:rsidRDefault="00CD713B"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CD713B">
        <w:rPr>
          <w:rFonts w:eastAsiaTheme="minorEastAsia"/>
          <w:sz w:val="28"/>
          <w:szCs w:val="28"/>
          <w:shd w:val="clear" w:color="auto" w:fill="FFFFFF"/>
          <w:lang w:eastAsia="ru-RU"/>
        </w:rPr>
        <w:t>-  сложная и длительная процедура выделения земельных участков под жилищное строительство.</w:t>
      </w:r>
    </w:p>
    <w:p w:rsidR="00CD713B" w:rsidRDefault="00CD713B" w:rsidP="0024684D">
      <w:pPr>
        <w:spacing w:line="276" w:lineRule="auto"/>
        <w:rPr>
          <w:sz w:val="28"/>
          <w:szCs w:val="28"/>
        </w:rPr>
      </w:pPr>
      <w:r w:rsidRPr="00A51D69">
        <w:rPr>
          <w:sz w:val="28"/>
          <w:szCs w:val="28"/>
        </w:rPr>
        <w:t>Одновременно растет инфляция</w:t>
      </w:r>
      <w:r w:rsidR="00BB6164">
        <w:rPr>
          <w:sz w:val="28"/>
          <w:szCs w:val="28"/>
        </w:rPr>
        <w:t>, что</w:t>
      </w:r>
      <w:r w:rsidRPr="00A51D69">
        <w:rPr>
          <w:sz w:val="28"/>
          <w:szCs w:val="28"/>
        </w:rPr>
        <w:t xml:space="preserve"> негативно влияет на уровень доходов населения и сокращает спрос на приобретение недвижимости. Также, условия экономической неопределенности снижают привлекательность покупки недвижимости, как средства инвестирования.</w:t>
      </w:r>
      <w:r>
        <w:rPr>
          <w:sz w:val="28"/>
          <w:szCs w:val="28"/>
        </w:rPr>
        <w:t xml:space="preserve"> </w:t>
      </w:r>
    </w:p>
    <w:p w:rsidR="00FC23FE" w:rsidRPr="00C46FC4" w:rsidRDefault="00FC23FE" w:rsidP="0024684D">
      <w:pPr>
        <w:spacing w:line="276" w:lineRule="auto"/>
        <w:rPr>
          <w:sz w:val="28"/>
          <w:szCs w:val="28"/>
        </w:rPr>
      </w:pPr>
      <w:r w:rsidRPr="00985648">
        <w:rPr>
          <w:sz w:val="28"/>
          <w:szCs w:val="28"/>
        </w:rPr>
        <w:t xml:space="preserve">Несмотря на господдержку льготного ипотечного кредитования, по данным мониторингового отчета СОФЖИ Самарской области </w:t>
      </w:r>
      <w:r w:rsidRPr="00C46FC4">
        <w:rPr>
          <w:sz w:val="28"/>
          <w:szCs w:val="28"/>
        </w:rPr>
        <w:t xml:space="preserve">за июнь 2022 года, продажи на первичном рынке жилой недвижимости Самарской области </w:t>
      </w:r>
      <w:r>
        <w:rPr>
          <w:sz w:val="28"/>
          <w:szCs w:val="28"/>
        </w:rPr>
        <w:t>п</w:t>
      </w:r>
      <w:r w:rsidRPr="00C46FC4">
        <w:rPr>
          <w:sz w:val="28"/>
          <w:szCs w:val="28"/>
        </w:rPr>
        <w:t>о отношению к июн</w:t>
      </w:r>
      <w:r>
        <w:rPr>
          <w:sz w:val="28"/>
          <w:szCs w:val="28"/>
        </w:rPr>
        <w:t>ю 20</w:t>
      </w:r>
      <w:r w:rsidRPr="00C46FC4">
        <w:rPr>
          <w:sz w:val="28"/>
          <w:szCs w:val="28"/>
        </w:rPr>
        <w:t>21</w:t>
      </w:r>
      <w:r>
        <w:rPr>
          <w:sz w:val="28"/>
          <w:szCs w:val="28"/>
        </w:rPr>
        <w:t xml:space="preserve"> года и к январю 2022</w:t>
      </w:r>
      <w:r w:rsidRPr="00C46FC4">
        <w:rPr>
          <w:sz w:val="28"/>
          <w:szCs w:val="28"/>
        </w:rPr>
        <w:t xml:space="preserve"> года</w:t>
      </w:r>
      <w:r>
        <w:rPr>
          <w:sz w:val="28"/>
          <w:szCs w:val="28"/>
        </w:rPr>
        <w:t xml:space="preserve"> демонстрируют</w:t>
      </w:r>
      <w:r w:rsidRPr="00C46FC4">
        <w:rPr>
          <w:sz w:val="28"/>
          <w:szCs w:val="28"/>
        </w:rPr>
        <w:t xml:space="preserve"> снижение объемов продаж на 15,3% и 23,7% соответственно. </w:t>
      </w:r>
    </w:p>
    <w:p w:rsidR="00CD713B" w:rsidRPr="00A51D69" w:rsidRDefault="00CD713B" w:rsidP="0024684D">
      <w:pPr>
        <w:spacing w:line="276" w:lineRule="auto"/>
        <w:rPr>
          <w:sz w:val="28"/>
          <w:szCs w:val="28"/>
        </w:rPr>
      </w:pPr>
      <w:r w:rsidRPr="00A51D69">
        <w:rPr>
          <w:sz w:val="28"/>
          <w:szCs w:val="28"/>
        </w:rPr>
        <w:t xml:space="preserve">Снижение активности продаж снижает эффективность ставки кредитования для застройщика жилья и, следовательно, прибыльность строительства. Требуется дальнейшее принятие мер государственного стимулирования потребительского спроса населения на приобретение жилья. </w:t>
      </w:r>
    </w:p>
    <w:p w:rsidR="00472876" w:rsidRDefault="00CD713B" w:rsidP="0024684D">
      <w:pPr>
        <w:widowControl w:val="0"/>
        <w:spacing w:line="276" w:lineRule="auto"/>
        <w:rPr>
          <w:sz w:val="28"/>
          <w:szCs w:val="28"/>
          <w:shd w:val="clear" w:color="auto" w:fill="FFFFFF"/>
        </w:rPr>
      </w:pPr>
      <w:r w:rsidRPr="00A51D69">
        <w:rPr>
          <w:sz w:val="28"/>
          <w:szCs w:val="28"/>
          <w:shd w:val="clear" w:color="auto" w:fill="FFFFFF"/>
        </w:rPr>
        <w:t>В связи с ожидаемым невыполнением установленного в Соглашении планового значения показателя на 2022 год, администрация городского округа Тольятти обратилась в министерство строительства Самарской области с просьбой о снижении планового задания по вводу жилья для городского округа Тольятти на 2022 год до 13</w:t>
      </w:r>
      <w:r w:rsidR="000056CB">
        <w:rPr>
          <w:sz w:val="28"/>
          <w:szCs w:val="28"/>
          <w:shd w:val="clear" w:color="auto" w:fill="FFFFFF"/>
        </w:rPr>
        <w:t>3</w:t>
      </w:r>
      <w:r w:rsidRPr="00A51D69">
        <w:rPr>
          <w:sz w:val="28"/>
          <w:szCs w:val="28"/>
          <w:shd w:val="clear" w:color="auto" w:fill="FFFFFF"/>
        </w:rPr>
        <w:t>,0 тыс. кв. м</w:t>
      </w:r>
      <w:r w:rsidR="00472876">
        <w:rPr>
          <w:sz w:val="28"/>
          <w:szCs w:val="28"/>
          <w:shd w:val="clear" w:color="auto" w:fill="FFFFFF"/>
        </w:rPr>
        <w:t>.</w:t>
      </w:r>
      <w:r w:rsidR="000056CB">
        <w:rPr>
          <w:sz w:val="28"/>
          <w:szCs w:val="28"/>
          <w:shd w:val="clear" w:color="auto" w:fill="FFFFFF"/>
        </w:rPr>
        <w:t xml:space="preserve"> (ответа до настоящего время не поступало).</w:t>
      </w:r>
    </w:p>
    <w:p w:rsidR="00CD713B" w:rsidRDefault="00472876" w:rsidP="0024684D">
      <w:pPr>
        <w:widowControl w:val="0"/>
        <w:spacing w:line="276" w:lineRule="auto"/>
        <w:rPr>
          <w:sz w:val="28"/>
          <w:szCs w:val="28"/>
          <w:shd w:val="clear" w:color="auto" w:fill="FFFFFF"/>
        </w:rPr>
      </w:pPr>
      <w:r>
        <w:rPr>
          <w:sz w:val="28"/>
          <w:szCs w:val="28"/>
          <w:shd w:val="clear" w:color="auto" w:fill="FFFFFF"/>
        </w:rPr>
        <w:t xml:space="preserve">В настоящее время </w:t>
      </w:r>
      <w:r w:rsidRPr="00A51D69">
        <w:rPr>
          <w:sz w:val="28"/>
          <w:szCs w:val="28"/>
          <w:shd w:val="clear" w:color="auto" w:fill="FFFFFF"/>
        </w:rPr>
        <w:t>показател</w:t>
      </w:r>
      <w:r w:rsidR="00C7297F">
        <w:rPr>
          <w:sz w:val="28"/>
          <w:szCs w:val="28"/>
          <w:shd w:val="clear" w:color="auto" w:fill="FFFFFF"/>
        </w:rPr>
        <w:t>ь</w:t>
      </w:r>
      <w:r w:rsidRPr="00A51D69">
        <w:rPr>
          <w:sz w:val="28"/>
          <w:szCs w:val="28"/>
          <w:shd w:val="clear" w:color="auto" w:fill="FFFFFF"/>
        </w:rPr>
        <w:t xml:space="preserve"> на 2022 год</w:t>
      </w:r>
      <w:r>
        <w:rPr>
          <w:sz w:val="28"/>
          <w:szCs w:val="28"/>
          <w:shd w:val="clear" w:color="auto" w:fill="FFFFFF"/>
        </w:rPr>
        <w:t xml:space="preserve"> </w:t>
      </w:r>
      <w:r w:rsidR="00C7297F">
        <w:rPr>
          <w:sz w:val="28"/>
          <w:szCs w:val="28"/>
          <w:shd w:val="clear" w:color="auto" w:fill="FFFFFF"/>
        </w:rPr>
        <w:t>оценивается</w:t>
      </w:r>
      <w:r>
        <w:rPr>
          <w:sz w:val="28"/>
          <w:szCs w:val="28"/>
          <w:shd w:val="clear" w:color="auto" w:fill="FFFFFF"/>
        </w:rPr>
        <w:t xml:space="preserve"> </w:t>
      </w:r>
      <w:r w:rsidR="00C7297F">
        <w:rPr>
          <w:sz w:val="28"/>
          <w:szCs w:val="28"/>
          <w:shd w:val="clear" w:color="auto" w:fill="FFFFFF"/>
        </w:rPr>
        <w:t xml:space="preserve">на уровне </w:t>
      </w:r>
      <w:r>
        <w:rPr>
          <w:sz w:val="28"/>
          <w:szCs w:val="28"/>
          <w:shd w:val="clear" w:color="auto" w:fill="FFFFFF"/>
        </w:rPr>
        <w:t>133,0 тыс</w:t>
      </w:r>
      <w:r w:rsidR="00CD713B" w:rsidRPr="00A51D69">
        <w:rPr>
          <w:sz w:val="28"/>
          <w:szCs w:val="28"/>
          <w:shd w:val="clear" w:color="auto" w:fill="FFFFFF"/>
        </w:rPr>
        <w:t>.</w:t>
      </w:r>
      <w:r>
        <w:rPr>
          <w:sz w:val="28"/>
          <w:szCs w:val="28"/>
          <w:shd w:val="clear" w:color="auto" w:fill="FFFFFF"/>
        </w:rPr>
        <w:t xml:space="preserve"> кв. </w:t>
      </w:r>
      <w:r w:rsidR="00C7297F">
        <w:rPr>
          <w:sz w:val="28"/>
          <w:szCs w:val="28"/>
          <w:shd w:val="clear" w:color="auto" w:fill="FFFFFF"/>
        </w:rPr>
        <w:t xml:space="preserve">м с учетом </w:t>
      </w:r>
      <w:r w:rsidR="00F73AC9">
        <w:rPr>
          <w:sz w:val="28"/>
          <w:szCs w:val="28"/>
          <w:shd w:val="clear" w:color="auto" w:fill="FFFFFF"/>
        </w:rPr>
        <w:t xml:space="preserve">фактического ввода в эксплуатацию объектов ИЖС: </w:t>
      </w:r>
      <w:r w:rsidR="00F73AC9" w:rsidRPr="00792F2B">
        <w:rPr>
          <w:sz w:val="28"/>
          <w:szCs w:val="28"/>
          <w:shd w:val="clear" w:color="auto" w:fill="FFFFFF"/>
        </w:rPr>
        <w:t xml:space="preserve">за </w:t>
      </w:r>
      <w:r w:rsidR="00792F2B" w:rsidRPr="00792F2B">
        <w:rPr>
          <w:sz w:val="28"/>
          <w:szCs w:val="28"/>
          <w:shd w:val="clear" w:color="auto" w:fill="FFFFFF"/>
        </w:rPr>
        <w:t>9</w:t>
      </w:r>
      <w:r w:rsidR="00F73AC9" w:rsidRPr="00792F2B">
        <w:rPr>
          <w:sz w:val="28"/>
          <w:szCs w:val="28"/>
          <w:shd w:val="clear" w:color="auto" w:fill="FFFFFF"/>
        </w:rPr>
        <w:t xml:space="preserve"> месяцев при плане </w:t>
      </w:r>
      <w:r w:rsidR="00792F2B" w:rsidRPr="00792F2B">
        <w:rPr>
          <w:sz w:val="28"/>
          <w:szCs w:val="28"/>
          <w:shd w:val="clear" w:color="auto" w:fill="FFFFFF"/>
        </w:rPr>
        <w:t>177,3</w:t>
      </w:r>
      <w:r w:rsidR="00F73AC9" w:rsidRPr="00792F2B">
        <w:rPr>
          <w:sz w:val="28"/>
          <w:szCs w:val="28"/>
          <w:shd w:val="clear" w:color="auto" w:fill="FFFFFF"/>
        </w:rPr>
        <w:t xml:space="preserve"> тыс. кв. м было введено </w:t>
      </w:r>
      <w:r w:rsidR="00792F2B" w:rsidRPr="00792F2B">
        <w:rPr>
          <w:sz w:val="28"/>
          <w:szCs w:val="28"/>
          <w:shd w:val="clear" w:color="auto" w:fill="FFFFFF"/>
        </w:rPr>
        <w:t>59,4</w:t>
      </w:r>
      <w:r w:rsidR="00F73AC9" w:rsidRPr="00792F2B">
        <w:rPr>
          <w:sz w:val="28"/>
          <w:szCs w:val="28"/>
          <w:shd w:val="clear" w:color="auto" w:fill="FFFFFF"/>
        </w:rPr>
        <w:t xml:space="preserve"> тыс. кв. м.</w:t>
      </w:r>
    </w:p>
    <w:p w:rsidR="00A474E4" w:rsidRPr="007369E5" w:rsidRDefault="00A474E4" w:rsidP="0024684D">
      <w:pPr>
        <w:pStyle w:val="2a"/>
        <w:spacing w:after="0" w:line="276" w:lineRule="auto"/>
        <w:rPr>
          <w:color w:val="000000"/>
          <w:sz w:val="28"/>
          <w:szCs w:val="28"/>
          <w:lang w:eastAsia="ru-RU"/>
        </w:rPr>
      </w:pPr>
      <w:r w:rsidRPr="007369E5">
        <w:rPr>
          <w:sz w:val="28"/>
          <w:szCs w:val="28"/>
          <w:shd w:val="clear" w:color="auto" w:fill="FFFFFF"/>
        </w:rPr>
        <w:t>При этом, уровень обеспеченности населения городского округа Тольятти жильем в 2022 году составит 24,2 кв. м на человека, что на 2,1% выше 2021 года (23,6 кв.</w:t>
      </w:r>
      <w:r w:rsidR="00BB6164">
        <w:rPr>
          <w:sz w:val="28"/>
          <w:szCs w:val="28"/>
          <w:shd w:val="clear" w:color="auto" w:fill="FFFFFF"/>
        </w:rPr>
        <w:t xml:space="preserve"> </w:t>
      </w:r>
      <w:r w:rsidRPr="007369E5">
        <w:rPr>
          <w:sz w:val="28"/>
          <w:szCs w:val="28"/>
          <w:shd w:val="clear" w:color="auto" w:fill="FFFFFF"/>
        </w:rPr>
        <w:t xml:space="preserve">м). </w:t>
      </w:r>
    </w:p>
    <w:p w:rsidR="007369E5" w:rsidRPr="007369E5" w:rsidRDefault="007369E5" w:rsidP="007369E5">
      <w:pPr>
        <w:spacing w:line="276" w:lineRule="auto"/>
        <w:ind w:firstLine="0"/>
        <w:jc w:val="center"/>
        <w:rPr>
          <w:rFonts w:eastAsia="Calibri"/>
          <w:sz w:val="28"/>
          <w:szCs w:val="28"/>
          <w:lang w:eastAsia="ar-SA"/>
        </w:rPr>
      </w:pPr>
      <w:r w:rsidRPr="007369E5">
        <w:rPr>
          <w:rFonts w:eastAsia="Calibri"/>
          <w:sz w:val="28"/>
          <w:szCs w:val="28"/>
          <w:lang w:eastAsia="ar-SA"/>
        </w:rPr>
        <w:t>Ожидаемое выполнение прогнозных показателей по разделу</w:t>
      </w:r>
    </w:p>
    <w:p w:rsidR="007369E5" w:rsidRPr="007369E5" w:rsidRDefault="007369E5" w:rsidP="007369E5">
      <w:pPr>
        <w:spacing w:line="276" w:lineRule="auto"/>
        <w:ind w:firstLine="0"/>
        <w:jc w:val="center"/>
        <w:rPr>
          <w:rFonts w:eastAsia="Calibri"/>
          <w:sz w:val="28"/>
          <w:szCs w:val="28"/>
          <w:lang w:eastAsia="ar-SA"/>
        </w:rPr>
      </w:pPr>
      <w:r w:rsidRPr="007369E5">
        <w:rPr>
          <w:rFonts w:eastAsia="Calibri"/>
          <w:sz w:val="28"/>
          <w:szCs w:val="28"/>
          <w:lang w:eastAsia="ar-SA"/>
        </w:rPr>
        <w:t>«Жилищное строительство» на 2022 год</w:t>
      </w:r>
    </w:p>
    <w:tbl>
      <w:tblPr>
        <w:tblW w:w="9588" w:type="dxa"/>
        <w:tblInd w:w="108" w:type="dxa"/>
        <w:tblLayout w:type="fixed"/>
        <w:tblLook w:val="0000" w:firstRow="0" w:lastRow="0" w:firstColumn="0" w:lastColumn="0" w:noHBand="0" w:noVBand="0"/>
      </w:tblPr>
      <w:tblGrid>
        <w:gridCol w:w="3174"/>
        <w:gridCol w:w="1247"/>
        <w:gridCol w:w="1735"/>
        <w:gridCol w:w="1697"/>
        <w:gridCol w:w="1735"/>
      </w:tblGrid>
      <w:tr w:rsidR="007369E5" w:rsidRPr="007369E5" w:rsidTr="00BC36B0">
        <w:trPr>
          <w:cantSplit/>
          <w:trHeight w:val="211"/>
        </w:trPr>
        <w:tc>
          <w:tcPr>
            <w:tcW w:w="3174" w:type="dxa"/>
            <w:vMerge w:val="restart"/>
            <w:tcBorders>
              <w:top w:val="single" w:sz="4" w:space="0" w:color="000000"/>
              <w:left w:val="single" w:sz="4" w:space="0" w:color="000000"/>
              <w:bottom w:val="single" w:sz="4" w:space="0" w:color="000000"/>
            </w:tcBorders>
            <w:vAlign w:val="center"/>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Показатели</w:t>
            </w:r>
          </w:p>
        </w:tc>
        <w:tc>
          <w:tcPr>
            <w:tcW w:w="1247" w:type="dxa"/>
            <w:vMerge w:val="restart"/>
            <w:tcBorders>
              <w:top w:val="single" w:sz="4" w:space="0" w:color="000000"/>
              <w:left w:val="single" w:sz="4" w:space="0" w:color="000000"/>
              <w:bottom w:val="single" w:sz="4" w:space="0" w:color="000000"/>
            </w:tcBorders>
            <w:vAlign w:val="center"/>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Ед. изм.</w:t>
            </w:r>
          </w:p>
        </w:tc>
        <w:tc>
          <w:tcPr>
            <w:tcW w:w="3432" w:type="dxa"/>
            <w:gridSpan w:val="2"/>
            <w:tcBorders>
              <w:top w:val="single" w:sz="4" w:space="0" w:color="000000"/>
              <w:left w:val="single" w:sz="4" w:space="0" w:color="000000"/>
              <w:bottom w:val="single" w:sz="4" w:space="0" w:color="000000"/>
            </w:tcBorders>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Прогноз на 2022 год</w:t>
            </w:r>
          </w:p>
        </w:tc>
        <w:tc>
          <w:tcPr>
            <w:tcW w:w="1735" w:type="dxa"/>
            <w:vMerge w:val="restart"/>
            <w:tcBorders>
              <w:top w:val="single" w:sz="4" w:space="0" w:color="000000"/>
              <w:left w:val="single" w:sz="4" w:space="0" w:color="000000"/>
              <w:bottom w:val="single" w:sz="4" w:space="0" w:color="000000"/>
              <w:right w:val="single" w:sz="4" w:space="0" w:color="000000"/>
            </w:tcBorders>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2022 год (оценка)</w:t>
            </w:r>
          </w:p>
        </w:tc>
      </w:tr>
      <w:tr w:rsidR="007369E5" w:rsidRPr="007369E5" w:rsidTr="00BC36B0">
        <w:trPr>
          <w:trHeight w:val="105"/>
        </w:trPr>
        <w:tc>
          <w:tcPr>
            <w:tcW w:w="3174" w:type="dxa"/>
            <w:vMerge/>
            <w:tcBorders>
              <w:top w:val="single" w:sz="4" w:space="0" w:color="000000"/>
              <w:left w:val="single" w:sz="4" w:space="0" w:color="000000"/>
              <w:bottom w:val="single" w:sz="4" w:space="0" w:color="auto"/>
            </w:tcBorders>
          </w:tcPr>
          <w:p w:rsidR="007369E5" w:rsidRPr="007369E5" w:rsidRDefault="007369E5" w:rsidP="00BC36B0">
            <w:pPr>
              <w:snapToGrid w:val="0"/>
              <w:ind w:firstLine="0"/>
              <w:rPr>
                <w:rFonts w:eastAsia="Calibri"/>
                <w:sz w:val="28"/>
                <w:szCs w:val="28"/>
                <w:lang w:eastAsia="ar-SA"/>
              </w:rPr>
            </w:pPr>
          </w:p>
        </w:tc>
        <w:tc>
          <w:tcPr>
            <w:tcW w:w="1247" w:type="dxa"/>
            <w:vMerge/>
            <w:tcBorders>
              <w:top w:val="single" w:sz="4" w:space="0" w:color="000000"/>
              <w:left w:val="single" w:sz="4" w:space="0" w:color="000000"/>
              <w:bottom w:val="single" w:sz="4" w:space="0" w:color="auto"/>
            </w:tcBorders>
          </w:tcPr>
          <w:p w:rsidR="007369E5" w:rsidRPr="007369E5" w:rsidRDefault="007369E5" w:rsidP="00BC36B0">
            <w:pPr>
              <w:snapToGrid w:val="0"/>
              <w:ind w:firstLine="0"/>
              <w:rPr>
                <w:rFonts w:eastAsia="Calibri"/>
                <w:sz w:val="28"/>
                <w:szCs w:val="28"/>
                <w:lang w:eastAsia="ar-SA"/>
              </w:rPr>
            </w:pPr>
          </w:p>
        </w:tc>
        <w:tc>
          <w:tcPr>
            <w:tcW w:w="1735" w:type="dxa"/>
            <w:tcBorders>
              <w:left w:val="single" w:sz="4" w:space="0" w:color="000000"/>
              <w:bottom w:val="single" w:sz="4" w:space="0" w:color="auto"/>
            </w:tcBorders>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1 вариант</w:t>
            </w:r>
          </w:p>
        </w:tc>
        <w:tc>
          <w:tcPr>
            <w:tcW w:w="1697" w:type="dxa"/>
            <w:tcBorders>
              <w:left w:val="single" w:sz="4" w:space="0" w:color="000000"/>
              <w:bottom w:val="single" w:sz="4" w:space="0" w:color="auto"/>
            </w:tcBorders>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2 вариант</w:t>
            </w:r>
          </w:p>
        </w:tc>
        <w:tc>
          <w:tcPr>
            <w:tcW w:w="1735" w:type="dxa"/>
            <w:vMerge/>
            <w:tcBorders>
              <w:top w:val="single" w:sz="4" w:space="0" w:color="000000"/>
              <w:left w:val="single" w:sz="4" w:space="0" w:color="000000"/>
              <w:bottom w:val="single" w:sz="4" w:space="0" w:color="auto"/>
              <w:right w:val="single" w:sz="4" w:space="0" w:color="000000"/>
            </w:tcBorders>
          </w:tcPr>
          <w:p w:rsidR="007369E5" w:rsidRPr="007369E5" w:rsidRDefault="007369E5" w:rsidP="00BC36B0">
            <w:pPr>
              <w:snapToGrid w:val="0"/>
              <w:ind w:firstLine="0"/>
              <w:rPr>
                <w:rFonts w:eastAsia="Calibri"/>
                <w:sz w:val="28"/>
                <w:szCs w:val="28"/>
                <w:lang w:eastAsia="ar-SA"/>
              </w:rPr>
            </w:pPr>
          </w:p>
        </w:tc>
      </w:tr>
      <w:tr w:rsidR="007369E5" w:rsidRPr="008253D3" w:rsidTr="00BC36B0">
        <w:trPr>
          <w:trHeight w:val="885"/>
        </w:trPr>
        <w:tc>
          <w:tcPr>
            <w:tcW w:w="3174" w:type="dxa"/>
            <w:tcBorders>
              <w:top w:val="single" w:sz="4" w:space="0" w:color="auto"/>
              <w:left w:val="single" w:sz="4" w:space="0" w:color="auto"/>
              <w:bottom w:val="single" w:sz="4" w:space="0" w:color="auto"/>
              <w:right w:val="single" w:sz="4" w:space="0" w:color="auto"/>
            </w:tcBorders>
          </w:tcPr>
          <w:p w:rsidR="007369E5" w:rsidRPr="007369E5" w:rsidRDefault="007369E5" w:rsidP="00BC36B0">
            <w:pPr>
              <w:ind w:firstLine="0"/>
              <w:rPr>
                <w:rFonts w:eastAsia="Calibri"/>
                <w:sz w:val="28"/>
                <w:szCs w:val="28"/>
                <w:lang w:eastAsia="ar-SA"/>
              </w:rPr>
            </w:pPr>
            <w:r w:rsidRPr="007369E5">
              <w:rPr>
                <w:rFonts w:eastAsia="Calibri"/>
                <w:sz w:val="28"/>
                <w:szCs w:val="28"/>
                <w:lang w:eastAsia="ar-SA"/>
              </w:rPr>
              <w:t>Ввод в действие жилых домов (квартир) за счет всех источников финансирования</w:t>
            </w:r>
          </w:p>
        </w:tc>
        <w:tc>
          <w:tcPr>
            <w:tcW w:w="1247" w:type="dxa"/>
            <w:tcBorders>
              <w:top w:val="single" w:sz="4" w:space="0" w:color="auto"/>
              <w:left w:val="single" w:sz="4" w:space="0" w:color="auto"/>
              <w:bottom w:val="single" w:sz="4" w:space="0" w:color="auto"/>
              <w:right w:val="single" w:sz="4" w:space="0" w:color="auto"/>
            </w:tcBorders>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тыс. кв. метров</w:t>
            </w:r>
          </w:p>
        </w:tc>
        <w:tc>
          <w:tcPr>
            <w:tcW w:w="1735" w:type="dxa"/>
            <w:tcBorders>
              <w:top w:val="single" w:sz="4" w:space="0" w:color="auto"/>
              <w:left w:val="single" w:sz="4" w:space="0" w:color="auto"/>
              <w:bottom w:val="single" w:sz="4" w:space="0" w:color="auto"/>
              <w:right w:val="single" w:sz="4" w:space="0" w:color="auto"/>
            </w:tcBorders>
            <w:vAlign w:val="center"/>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91,1</w:t>
            </w:r>
          </w:p>
        </w:tc>
        <w:tc>
          <w:tcPr>
            <w:tcW w:w="1697" w:type="dxa"/>
            <w:tcBorders>
              <w:top w:val="single" w:sz="4" w:space="0" w:color="auto"/>
              <w:left w:val="single" w:sz="4" w:space="0" w:color="auto"/>
              <w:bottom w:val="single" w:sz="4" w:space="0" w:color="auto"/>
              <w:right w:val="single" w:sz="4" w:space="0" w:color="auto"/>
            </w:tcBorders>
            <w:vAlign w:val="center"/>
          </w:tcPr>
          <w:p w:rsidR="007369E5" w:rsidRPr="007369E5" w:rsidRDefault="007369E5" w:rsidP="00BC36B0">
            <w:pPr>
              <w:ind w:firstLine="0"/>
              <w:jc w:val="center"/>
              <w:rPr>
                <w:rFonts w:eastAsia="Calibri"/>
                <w:sz w:val="28"/>
                <w:szCs w:val="28"/>
                <w:lang w:eastAsia="ar-SA"/>
              </w:rPr>
            </w:pPr>
            <w:r w:rsidRPr="007369E5">
              <w:rPr>
                <w:rFonts w:eastAsia="Calibri"/>
                <w:sz w:val="28"/>
                <w:szCs w:val="28"/>
                <w:lang w:eastAsia="ar-SA"/>
              </w:rPr>
              <w:t>158,1</w:t>
            </w:r>
          </w:p>
        </w:tc>
        <w:tc>
          <w:tcPr>
            <w:tcW w:w="1735" w:type="dxa"/>
            <w:tcBorders>
              <w:top w:val="single" w:sz="4" w:space="0" w:color="auto"/>
              <w:left w:val="single" w:sz="4" w:space="0" w:color="auto"/>
              <w:bottom w:val="single" w:sz="4" w:space="0" w:color="auto"/>
              <w:right w:val="single" w:sz="4" w:space="0" w:color="auto"/>
            </w:tcBorders>
            <w:vAlign w:val="center"/>
          </w:tcPr>
          <w:p w:rsidR="007369E5" w:rsidRPr="005E37BF" w:rsidRDefault="007369E5" w:rsidP="00C7297F">
            <w:pPr>
              <w:ind w:firstLine="0"/>
              <w:jc w:val="center"/>
              <w:rPr>
                <w:rFonts w:eastAsia="Calibri"/>
                <w:sz w:val="28"/>
                <w:szCs w:val="28"/>
                <w:lang w:eastAsia="ar-SA"/>
              </w:rPr>
            </w:pPr>
            <w:r w:rsidRPr="007369E5">
              <w:rPr>
                <w:rFonts w:eastAsia="Calibri"/>
                <w:sz w:val="28"/>
                <w:szCs w:val="28"/>
                <w:lang w:eastAsia="ar-SA"/>
              </w:rPr>
              <w:t>13</w:t>
            </w:r>
            <w:r w:rsidR="00C7297F">
              <w:rPr>
                <w:rFonts w:eastAsia="Calibri"/>
                <w:sz w:val="28"/>
                <w:szCs w:val="28"/>
                <w:lang w:eastAsia="ar-SA"/>
              </w:rPr>
              <w:t>3</w:t>
            </w:r>
            <w:r w:rsidRPr="007369E5">
              <w:rPr>
                <w:rFonts w:eastAsia="Calibri"/>
                <w:sz w:val="28"/>
                <w:szCs w:val="28"/>
                <w:lang w:eastAsia="ar-SA"/>
              </w:rPr>
              <w:t>,0</w:t>
            </w:r>
          </w:p>
        </w:tc>
      </w:tr>
    </w:tbl>
    <w:p w:rsidR="007369E5" w:rsidRDefault="007369E5" w:rsidP="00CD713B">
      <w:pPr>
        <w:widowControl w:val="0"/>
        <w:spacing w:line="276" w:lineRule="auto"/>
        <w:rPr>
          <w:sz w:val="28"/>
          <w:szCs w:val="28"/>
          <w:shd w:val="clear" w:color="auto" w:fill="FFFFFF"/>
        </w:rPr>
      </w:pP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В целях достижения прогнозного значения осуществляется мониторинг объектов жилищного строительства и взаимодействие с министерством строительства Самарской области и Государственной инспекцией строительного надзора по проблемным объектам жилищного строительства.</w:t>
      </w: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Мониторинг строительства объектов капитального строительства, в том числе, проблемных объектов долевого строительства на территории городского округа Тольятти осуществляется путем непосредственного взаимодействия с застройщиками, инициативными группами граждан, органами прокуратуры, государственной инспекцией строительного надзора Самарской области, министерством строительства Самарской области.</w:t>
      </w: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 xml:space="preserve">В перечне проблемных объектов, для строительства которых привлекались денежные средства граждан, утвержденном </w:t>
      </w:r>
      <w:hyperlink r:id="rId9" w:history="1">
        <w:r w:rsidRPr="0024684D">
          <w:rPr>
            <w:rFonts w:eastAsiaTheme="minorEastAsia"/>
            <w:sz w:val="28"/>
            <w:szCs w:val="28"/>
            <w:shd w:val="clear" w:color="auto" w:fill="FFFFFF"/>
            <w:lang w:eastAsia="ru-RU"/>
          </w:rPr>
          <w:t>постановлением Правительства Самарской области от 13.07.2011 № 329 (ред</w:t>
        </w:r>
        <w:r w:rsidR="00583CB3" w:rsidRPr="0024684D">
          <w:rPr>
            <w:rFonts w:eastAsiaTheme="minorEastAsia"/>
            <w:sz w:val="28"/>
            <w:szCs w:val="28"/>
            <w:shd w:val="clear" w:color="auto" w:fill="FFFFFF"/>
            <w:lang w:eastAsia="ru-RU"/>
          </w:rPr>
          <w:t>акция</w:t>
        </w:r>
        <w:r w:rsidRPr="0024684D">
          <w:rPr>
            <w:rFonts w:eastAsiaTheme="minorEastAsia"/>
            <w:sz w:val="28"/>
            <w:szCs w:val="28"/>
            <w:shd w:val="clear" w:color="auto" w:fill="FFFFFF"/>
            <w:lang w:eastAsia="ru-RU"/>
          </w:rPr>
          <w:t xml:space="preserve"> от 16.06.2022) </w:t>
        </w:r>
      </w:hyperlink>
      <w:r w:rsidRPr="0024684D">
        <w:rPr>
          <w:rFonts w:eastAsiaTheme="minorEastAsia"/>
          <w:sz w:val="28"/>
          <w:szCs w:val="28"/>
          <w:shd w:val="clear" w:color="auto" w:fill="FFFFFF"/>
          <w:lang w:eastAsia="ru-RU"/>
        </w:rPr>
        <w:t>на территории городского округа Тольятти в настоящее время находится 3 проблемных объекта:</w:t>
      </w: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 комплекс жилых домов переменной этажности (5-14 этажей), расположенный в Автозаводском районе, по ул. 40 лет Победы, 5;</w:t>
      </w: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 xml:space="preserve">- 7-ми этажный жилой дом, расположенный в Центральном районе, ул. Ларина, 2; </w:t>
      </w: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 жилой дом, расположенный в Комсомольском районе, юго-восточнее пересечения ул. Коммунистической и ул. Матросова</w:t>
      </w:r>
      <w:r w:rsidR="00A474E4" w:rsidRPr="0024684D">
        <w:rPr>
          <w:rFonts w:eastAsiaTheme="minorEastAsia"/>
          <w:sz w:val="28"/>
          <w:szCs w:val="28"/>
          <w:shd w:val="clear" w:color="auto" w:fill="FFFFFF"/>
          <w:lang w:eastAsia="ru-RU"/>
        </w:rPr>
        <w:t>.</w:t>
      </w:r>
    </w:p>
    <w:p w:rsidR="007369E5" w:rsidRPr="0024684D" w:rsidRDefault="007369E5" w:rsidP="0024684D">
      <w:pPr>
        <w:suppressAutoHyphens w:val="0"/>
        <w:autoSpaceDE w:val="0"/>
        <w:autoSpaceDN w:val="0"/>
        <w:adjustRightInd w:val="0"/>
        <w:spacing w:line="276" w:lineRule="auto"/>
        <w:rPr>
          <w:rFonts w:eastAsiaTheme="minorEastAsia"/>
          <w:sz w:val="28"/>
          <w:szCs w:val="28"/>
          <w:lang w:eastAsia="ru-RU"/>
        </w:rPr>
      </w:pPr>
      <w:r w:rsidRPr="0024684D">
        <w:rPr>
          <w:rFonts w:eastAsiaTheme="minorEastAsia"/>
          <w:sz w:val="28"/>
          <w:szCs w:val="28"/>
          <w:lang w:eastAsia="ru-RU"/>
        </w:rPr>
        <w:t>На территории городского округа Тольятти реализуется государственная программа Самарской области «Развитие жилищного строительства в Самарской области» до 2024 года.</w:t>
      </w:r>
    </w:p>
    <w:p w:rsidR="007369E5" w:rsidRPr="0024684D" w:rsidRDefault="007369E5" w:rsidP="0024684D">
      <w:pPr>
        <w:suppressAutoHyphens w:val="0"/>
        <w:autoSpaceDE w:val="0"/>
        <w:autoSpaceDN w:val="0"/>
        <w:adjustRightInd w:val="0"/>
        <w:spacing w:line="276" w:lineRule="auto"/>
        <w:rPr>
          <w:rFonts w:eastAsiaTheme="minorEastAsia"/>
          <w:sz w:val="28"/>
          <w:szCs w:val="28"/>
          <w:shd w:val="clear" w:color="auto" w:fill="FFFFFF"/>
          <w:lang w:eastAsia="ru-RU"/>
        </w:rPr>
      </w:pPr>
      <w:r w:rsidRPr="0024684D">
        <w:rPr>
          <w:rFonts w:eastAsiaTheme="minorEastAsia"/>
          <w:sz w:val="28"/>
          <w:szCs w:val="28"/>
          <w:shd w:val="clear" w:color="auto" w:fill="FFFFFF"/>
          <w:lang w:eastAsia="ru-RU"/>
        </w:rPr>
        <w:t xml:space="preserve">Предоставление молодым семьям социальных выплат осуществляется в рамках реализации подпрограммы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 1710, подпрограммы «Молодой семье – доступное жилье» до 2022 года государственной программы Самарской области «Развитие жилищного строительства в Самарской области» до 2024 года, муниципальной программы городского округа Тольятти «Молодой семье – доступное жилье» на 2014-2025 годы.  </w:t>
      </w:r>
    </w:p>
    <w:p w:rsidR="007369E5" w:rsidRPr="0024684D" w:rsidRDefault="007369E5" w:rsidP="0024684D">
      <w:pPr>
        <w:suppressAutoHyphens w:val="0"/>
        <w:autoSpaceDE w:val="0"/>
        <w:autoSpaceDN w:val="0"/>
        <w:adjustRightInd w:val="0"/>
        <w:spacing w:line="276" w:lineRule="auto"/>
        <w:rPr>
          <w:rFonts w:eastAsiaTheme="minorEastAsia"/>
          <w:sz w:val="28"/>
          <w:szCs w:val="28"/>
          <w:lang w:eastAsia="ru-RU"/>
        </w:rPr>
      </w:pPr>
      <w:r w:rsidRPr="0024684D">
        <w:rPr>
          <w:rFonts w:eastAsiaTheme="minorEastAsia"/>
          <w:sz w:val="28"/>
          <w:szCs w:val="28"/>
          <w:lang w:eastAsia="ru-RU"/>
        </w:rPr>
        <w:t>Выполнение мероприятий подпрограммы обеспечивается софинансированием средств федерального бюджета, бюджета Самарской области и бюджета городского округа Тольятти.</w:t>
      </w:r>
    </w:p>
    <w:p w:rsidR="007369E5" w:rsidRPr="0024684D" w:rsidRDefault="007369E5" w:rsidP="0024684D">
      <w:pPr>
        <w:suppressAutoHyphens w:val="0"/>
        <w:autoSpaceDE w:val="0"/>
        <w:autoSpaceDN w:val="0"/>
        <w:adjustRightInd w:val="0"/>
        <w:spacing w:line="276" w:lineRule="auto"/>
        <w:rPr>
          <w:rFonts w:eastAsiaTheme="minorEastAsia"/>
          <w:sz w:val="28"/>
          <w:szCs w:val="28"/>
          <w:lang w:eastAsia="ru-RU"/>
        </w:rPr>
      </w:pPr>
      <w:r w:rsidRPr="0024684D">
        <w:rPr>
          <w:rFonts w:eastAsiaTheme="minorEastAsia"/>
          <w:sz w:val="28"/>
          <w:szCs w:val="28"/>
          <w:lang w:eastAsia="ru-RU"/>
        </w:rPr>
        <w:t>В 2022 году в число получателей социальной выплаты из списка молодых семей – претендентов, утвержденного Губернатором Самарской области, вошли 385 молодых семей городского округа Тольятти.</w:t>
      </w:r>
    </w:p>
    <w:p w:rsidR="007369E5" w:rsidRPr="0024684D" w:rsidRDefault="007369E5" w:rsidP="0024684D">
      <w:pPr>
        <w:suppressAutoHyphens w:val="0"/>
        <w:spacing w:line="276" w:lineRule="auto"/>
        <w:ind w:firstLine="851"/>
        <w:rPr>
          <w:rFonts w:eastAsiaTheme="minorEastAsia"/>
          <w:sz w:val="28"/>
          <w:szCs w:val="28"/>
          <w:lang w:eastAsia="ru-RU"/>
        </w:rPr>
      </w:pPr>
      <w:r w:rsidRPr="0024684D">
        <w:rPr>
          <w:rFonts w:eastAsiaTheme="minorEastAsia"/>
          <w:sz w:val="28"/>
          <w:szCs w:val="28"/>
          <w:lang w:eastAsia="ru-RU"/>
        </w:rPr>
        <w:t>В 2022 году на предоставление социальных выплат на улучшение жилищных условий молодых семей городского округа Тольятти предусмотрены средства в общей сумме 328 703,4 тыс. руб</w:t>
      </w:r>
      <w:r w:rsidR="004B5FAC">
        <w:rPr>
          <w:rFonts w:eastAsiaTheme="minorEastAsia"/>
          <w:sz w:val="28"/>
          <w:szCs w:val="28"/>
          <w:lang w:eastAsia="ru-RU"/>
        </w:rPr>
        <w:t>.</w:t>
      </w:r>
      <w:r w:rsidRPr="0024684D">
        <w:rPr>
          <w:rFonts w:eastAsiaTheme="minorEastAsia"/>
          <w:sz w:val="28"/>
          <w:szCs w:val="28"/>
          <w:lang w:eastAsia="ru-RU"/>
        </w:rPr>
        <w:t>, в том числе: средства федерального бюджета – 33 973,7 тыс. руб</w:t>
      </w:r>
      <w:r w:rsidR="004B5FAC">
        <w:rPr>
          <w:rFonts w:eastAsiaTheme="minorEastAsia"/>
          <w:sz w:val="28"/>
          <w:szCs w:val="28"/>
          <w:lang w:eastAsia="ru-RU"/>
        </w:rPr>
        <w:t>.</w:t>
      </w:r>
      <w:r w:rsidRPr="0024684D">
        <w:rPr>
          <w:rFonts w:eastAsiaTheme="minorEastAsia"/>
          <w:sz w:val="28"/>
          <w:szCs w:val="28"/>
          <w:lang w:eastAsia="ru-RU"/>
        </w:rPr>
        <w:t>; средства областного бюджета – 162 937,7 тыс. руб</w:t>
      </w:r>
      <w:r w:rsidR="004B5FAC">
        <w:rPr>
          <w:rFonts w:eastAsiaTheme="minorEastAsia"/>
          <w:sz w:val="28"/>
          <w:szCs w:val="28"/>
          <w:lang w:eastAsia="ru-RU"/>
        </w:rPr>
        <w:t>.</w:t>
      </w:r>
      <w:r w:rsidRPr="0024684D">
        <w:rPr>
          <w:rFonts w:eastAsiaTheme="minorEastAsia"/>
          <w:sz w:val="28"/>
          <w:szCs w:val="28"/>
          <w:lang w:eastAsia="ru-RU"/>
        </w:rPr>
        <w:t>, средства бюджета городского округа Тольятти – 131 792,0 тыс. руб. На 01.07.2022 свидетельства о праве на получение социальной выплаты получили 265 молодых семей.</w:t>
      </w:r>
    </w:p>
    <w:p w:rsidR="007369E5" w:rsidRPr="0024684D" w:rsidRDefault="007369E5" w:rsidP="0024684D">
      <w:pPr>
        <w:suppressAutoHyphens w:val="0"/>
        <w:autoSpaceDE w:val="0"/>
        <w:autoSpaceDN w:val="0"/>
        <w:adjustRightInd w:val="0"/>
        <w:spacing w:line="276" w:lineRule="auto"/>
        <w:rPr>
          <w:rFonts w:eastAsiaTheme="minorEastAsia"/>
          <w:sz w:val="28"/>
          <w:szCs w:val="28"/>
          <w:lang w:eastAsia="ru-RU"/>
        </w:rPr>
      </w:pPr>
      <w:r w:rsidRPr="0024684D">
        <w:rPr>
          <w:rFonts w:eastAsiaTheme="minorEastAsia"/>
          <w:sz w:val="28"/>
          <w:szCs w:val="28"/>
          <w:lang w:eastAsia="ru-RU"/>
        </w:rPr>
        <w:t>В отчетном периоде был утвержден норматив стоимости 1 квадратного метра общей площади жилого помещения по городскому округу Тольятти на 1 и 2 кварталы 2022 года для расчета размеров социальных выплат молодым семьям в размере 36 674 рублей.</w:t>
      </w:r>
    </w:p>
    <w:p w:rsidR="007369E5" w:rsidRDefault="007369E5" w:rsidP="0024684D">
      <w:pPr>
        <w:pStyle w:val="aff0"/>
        <w:spacing w:line="276" w:lineRule="auto"/>
        <w:rPr>
          <w:szCs w:val="28"/>
          <w:shd w:val="clear" w:color="auto" w:fill="FFFFFF"/>
        </w:rPr>
      </w:pPr>
      <w:r w:rsidRPr="0024684D">
        <w:rPr>
          <w:szCs w:val="28"/>
          <w:shd w:val="clear" w:color="auto" w:fill="FFFFFF"/>
        </w:rPr>
        <w:t>При этом, во втором квартале 2022 года средние цены жилых помещений разных типов по Самарской области за 1 кв. м общей площади показывают рост как на первичном, так и вторичном рынках жилья: на первичном рынке рост к 1 кварталу 2022 года составил 112,4% (96622 рублей), на вторичном – 102</w:t>
      </w:r>
      <w:r w:rsidR="004B5FAC">
        <w:rPr>
          <w:szCs w:val="28"/>
          <w:shd w:val="clear" w:color="auto" w:fill="FFFFFF"/>
        </w:rPr>
        <w:t>,0</w:t>
      </w:r>
      <w:r w:rsidRPr="0024684D">
        <w:rPr>
          <w:szCs w:val="28"/>
          <w:shd w:val="clear" w:color="auto" w:fill="FFFFFF"/>
        </w:rPr>
        <w:t>% (74549 рубля).</w:t>
      </w:r>
    </w:p>
    <w:p w:rsidR="007369E5" w:rsidRPr="0024684D" w:rsidRDefault="007369E5" w:rsidP="0024684D">
      <w:pPr>
        <w:suppressAutoHyphens w:val="0"/>
        <w:autoSpaceDE w:val="0"/>
        <w:autoSpaceDN w:val="0"/>
        <w:adjustRightInd w:val="0"/>
        <w:spacing w:line="276" w:lineRule="auto"/>
        <w:rPr>
          <w:rFonts w:eastAsiaTheme="minorEastAsia"/>
          <w:sz w:val="28"/>
          <w:szCs w:val="28"/>
          <w:lang w:eastAsia="ru-RU"/>
        </w:rPr>
      </w:pPr>
      <w:r w:rsidRPr="0024684D">
        <w:rPr>
          <w:rFonts w:eastAsiaTheme="minorEastAsia"/>
          <w:sz w:val="28"/>
          <w:szCs w:val="28"/>
          <w:lang w:eastAsia="ru-RU"/>
        </w:rPr>
        <w:t>По состоянию на 01.07.2022 на учете для обеспечения жилыми помещениями за счет средств федерального и областного бюджетов состоят 480 получателей из числа льготных категорий граждан в соответствии с действующим законодательством Российской Федерации.</w:t>
      </w:r>
    </w:p>
    <w:p w:rsidR="007369E5" w:rsidRPr="0024684D" w:rsidRDefault="007369E5" w:rsidP="0024684D">
      <w:pPr>
        <w:suppressAutoHyphens w:val="0"/>
        <w:autoSpaceDE w:val="0"/>
        <w:autoSpaceDN w:val="0"/>
        <w:adjustRightInd w:val="0"/>
        <w:spacing w:line="276" w:lineRule="auto"/>
        <w:rPr>
          <w:rFonts w:eastAsiaTheme="minorEastAsia"/>
          <w:sz w:val="28"/>
          <w:szCs w:val="28"/>
          <w:lang w:eastAsia="ru-RU"/>
        </w:rPr>
      </w:pPr>
      <w:r w:rsidRPr="0024684D">
        <w:rPr>
          <w:rFonts w:eastAsiaTheme="minorEastAsia"/>
          <w:sz w:val="28"/>
          <w:szCs w:val="28"/>
          <w:lang w:eastAsia="ru-RU"/>
        </w:rPr>
        <w:t xml:space="preserve">В </w:t>
      </w:r>
      <w:r w:rsidR="003146DE">
        <w:rPr>
          <w:rFonts w:eastAsiaTheme="minorEastAsia"/>
          <w:sz w:val="28"/>
          <w:szCs w:val="28"/>
          <w:lang w:val="en-US" w:eastAsia="ru-RU"/>
        </w:rPr>
        <w:t>I</w:t>
      </w:r>
      <w:r w:rsidRPr="0024684D">
        <w:rPr>
          <w:rFonts w:eastAsiaTheme="minorEastAsia"/>
          <w:sz w:val="28"/>
          <w:szCs w:val="28"/>
          <w:lang w:eastAsia="ru-RU"/>
        </w:rPr>
        <w:t xml:space="preserve"> полугодии 2022 года перечислены субвенции в размере 2 205,6 тыс. руб</w:t>
      </w:r>
      <w:r w:rsidR="004B5FAC">
        <w:rPr>
          <w:rFonts w:eastAsiaTheme="minorEastAsia"/>
          <w:sz w:val="28"/>
          <w:szCs w:val="28"/>
          <w:lang w:eastAsia="ru-RU"/>
        </w:rPr>
        <w:t>.</w:t>
      </w:r>
      <w:r w:rsidRPr="0024684D">
        <w:rPr>
          <w:rFonts w:eastAsiaTheme="minorEastAsia"/>
          <w:sz w:val="28"/>
          <w:szCs w:val="28"/>
          <w:lang w:eastAsia="ru-RU"/>
        </w:rPr>
        <w:t xml:space="preserve"> на предоставление 2 социальных выплат, заключено 36 муниципальных контрактов на приобретение квартир в целях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предоставлено 40 жилых помещений муниципального специализированного жилищного фонда.</w:t>
      </w:r>
    </w:p>
    <w:p w:rsidR="007369E5" w:rsidRPr="0024684D" w:rsidRDefault="007369E5" w:rsidP="004917E0">
      <w:pPr>
        <w:suppressAutoHyphens w:val="0"/>
        <w:spacing w:after="120" w:line="276" w:lineRule="auto"/>
        <w:rPr>
          <w:rFonts w:eastAsia="Calibri"/>
          <w:sz w:val="28"/>
          <w:szCs w:val="28"/>
          <w:lang w:eastAsia="en-US"/>
        </w:rPr>
      </w:pPr>
      <w:r w:rsidRPr="0024684D">
        <w:rPr>
          <w:rFonts w:eastAsia="Calibri"/>
          <w:sz w:val="28"/>
          <w:szCs w:val="28"/>
          <w:lang w:eastAsia="en-US"/>
        </w:rPr>
        <w:t xml:space="preserve">Медицинским работникам, осуществляющим свою деятельность в государственных учреждениях здравоохранения Самарской области, расположенных на территории городского округа Тольятти, предоставляются служебные жилые помещения муниципального жилищного фонда городского округа Тольятти. </w:t>
      </w:r>
      <w:r w:rsidR="00792F2B" w:rsidRPr="00F71DE0">
        <w:rPr>
          <w:rFonts w:eastAsia="Calibri"/>
          <w:sz w:val="28"/>
          <w:szCs w:val="28"/>
          <w:lang w:eastAsia="en-US"/>
        </w:rPr>
        <w:t>В первом полугодии 2022 года</w:t>
      </w:r>
      <w:r w:rsidRPr="00F71DE0">
        <w:rPr>
          <w:rFonts w:eastAsia="Calibri"/>
          <w:sz w:val="28"/>
          <w:szCs w:val="28"/>
          <w:lang w:eastAsia="en-US"/>
        </w:rPr>
        <w:t xml:space="preserve"> жилые помещения предоставлены </w:t>
      </w:r>
      <w:r w:rsidR="00442150" w:rsidRPr="00F71DE0">
        <w:rPr>
          <w:rFonts w:eastAsia="Calibri"/>
          <w:sz w:val="28"/>
          <w:szCs w:val="28"/>
          <w:lang w:eastAsia="en-US"/>
        </w:rPr>
        <w:t>4</w:t>
      </w:r>
      <w:r w:rsidRPr="00F71DE0">
        <w:rPr>
          <w:rFonts w:eastAsia="Calibri"/>
          <w:sz w:val="28"/>
          <w:szCs w:val="28"/>
          <w:lang w:eastAsia="en-US"/>
        </w:rPr>
        <w:t xml:space="preserve"> медицинским работникам (</w:t>
      </w:r>
      <w:r w:rsidR="00F71DE0" w:rsidRPr="00F71DE0">
        <w:rPr>
          <w:rFonts w:eastAsia="Calibri"/>
          <w:sz w:val="28"/>
          <w:szCs w:val="28"/>
          <w:lang w:eastAsia="en-US"/>
        </w:rPr>
        <w:t>с</w:t>
      </w:r>
      <w:r w:rsidRPr="00F71DE0">
        <w:rPr>
          <w:rFonts w:eastAsia="Calibri"/>
          <w:sz w:val="28"/>
          <w:szCs w:val="28"/>
          <w:lang w:eastAsia="en-US"/>
        </w:rPr>
        <w:t xml:space="preserve"> 202</w:t>
      </w:r>
      <w:r w:rsidR="00F71DE0" w:rsidRPr="00F71DE0">
        <w:rPr>
          <w:rFonts w:eastAsia="Calibri"/>
          <w:sz w:val="28"/>
          <w:szCs w:val="28"/>
          <w:lang w:eastAsia="en-US"/>
        </w:rPr>
        <w:t>0</w:t>
      </w:r>
      <w:r w:rsidRPr="00F71DE0">
        <w:rPr>
          <w:rFonts w:eastAsia="Calibri"/>
          <w:sz w:val="28"/>
          <w:szCs w:val="28"/>
          <w:lang w:eastAsia="en-US"/>
        </w:rPr>
        <w:t xml:space="preserve"> год</w:t>
      </w:r>
      <w:r w:rsidR="00F71DE0" w:rsidRPr="00F71DE0">
        <w:rPr>
          <w:rFonts w:eastAsia="Calibri"/>
          <w:sz w:val="28"/>
          <w:szCs w:val="28"/>
          <w:lang w:eastAsia="en-US"/>
        </w:rPr>
        <w:t>а</w:t>
      </w:r>
      <w:r w:rsidRPr="00F71DE0">
        <w:rPr>
          <w:rFonts w:eastAsia="Calibri"/>
          <w:sz w:val="28"/>
          <w:szCs w:val="28"/>
          <w:lang w:eastAsia="en-US"/>
        </w:rPr>
        <w:t xml:space="preserve"> – </w:t>
      </w:r>
      <w:r w:rsidR="00F71DE0" w:rsidRPr="00F71DE0">
        <w:rPr>
          <w:rFonts w:eastAsia="Calibri"/>
          <w:sz w:val="28"/>
          <w:szCs w:val="28"/>
          <w:lang w:eastAsia="en-US"/>
        </w:rPr>
        <w:t>36</w:t>
      </w:r>
      <w:r w:rsidRPr="00F71DE0">
        <w:rPr>
          <w:rFonts w:eastAsia="Calibri"/>
          <w:sz w:val="28"/>
          <w:szCs w:val="28"/>
          <w:lang w:eastAsia="en-US"/>
        </w:rPr>
        <w:t xml:space="preserve"> медицинским работникам).</w:t>
      </w:r>
    </w:p>
    <w:p w:rsidR="00D1527E" w:rsidRDefault="008A1EBE" w:rsidP="004917E0">
      <w:pPr>
        <w:suppressAutoHyphens w:val="0"/>
        <w:spacing w:after="120"/>
        <w:ind w:firstLine="0"/>
        <w:jc w:val="center"/>
        <w:rPr>
          <w:b/>
          <w:bCs/>
          <w:sz w:val="28"/>
          <w:szCs w:val="28"/>
        </w:rPr>
      </w:pPr>
      <w:r w:rsidRPr="00A474E4">
        <w:rPr>
          <w:b/>
          <w:bCs/>
          <w:sz w:val="28"/>
          <w:szCs w:val="28"/>
        </w:rPr>
        <w:t>Финансы</w:t>
      </w:r>
    </w:p>
    <w:p w:rsidR="000A65B2" w:rsidRPr="00D1527E" w:rsidRDefault="003146DE" w:rsidP="004917E0">
      <w:pPr>
        <w:suppressAutoHyphens w:val="0"/>
        <w:autoSpaceDE w:val="0"/>
        <w:autoSpaceDN w:val="0"/>
        <w:adjustRightInd w:val="0"/>
        <w:spacing w:after="120" w:line="276" w:lineRule="auto"/>
        <w:rPr>
          <w:rFonts w:eastAsiaTheme="minorEastAsia"/>
          <w:sz w:val="28"/>
          <w:szCs w:val="28"/>
          <w:lang w:eastAsia="ru-RU"/>
        </w:rPr>
      </w:pPr>
      <w:r>
        <w:rPr>
          <w:rFonts w:eastAsiaTheme="minorEastAsia"/>
          <w:sz w:val="28"/>
          <w:szCs w:val="28"/>
          <w:lang w:eastAsia="ru-RU"/>
        </w:rPr>
        <w:t xml:space="preserve">В </w:t>
      </w:r>
      <w:r w:rsidR="000A65B2" w:rsidRPr="00D1527E">
        <w:rPr>
          <w:rFonts w:eastAsiaTheme="minorEastAsia"/>
          <w:sz w:val="28"/>
          <w:szCs w:val="28"/>
          <w:lang w:eastAsia="ru-RU"/>
        </w:rPr>
        <w:t xml:space="preserve">I полугодии 2022 года на финансовые итоги деятельности организаций городского округа Тольятти, оказывают влияние жесткое санкционное давление недружественных стран и высокая база соответствующих месяцев 2021 года, сформированная восстановительным ростом после экономического спада 2020 года, вызванного карантинными ограничениями, направленными на борьбу с распространением новой коронавирусной инфекции. </w:t>
      </w:r>
    </w:p>
    <w:p w:rsidR="00FC23FE" w:rsidRDefault="000A65B2" w:rsidP="00BB6164">
      <w:pPr>
        <w:suppressAutoHyphens w:val="0"/>
        <w:autoSpaceDE w:val="0"/>
        <w:autoSpaceDN w:val="0"/>
        <w:adjustRightInd w:val="0"/>
        <w:spacing w:line="276" w:lineRule="auto"/>
        <w:rPr>
          <w:rFonts w:eastAsia="Calibri"/>
          <w:sz w:val="28"/>
          <w:szCs w:val="28"/>
          <w:lang w:eastAsia="en-US"/>
        </w:rPr>
      </w:pPr>
      <w:r w:rsidRPr="00D1527E">
        <w:rPr>
          <w:rFonts w:eastAsiaTheme="minorEastAsia"/>
          <w:sz w:val="28"/>
          <w:szCs w:val="28"/>
          <w:lang w:eastAsia="ru-RU"/>
        </w:rPr>
        <w:t xml:space="preserve">В 2021 году положительный сальдированный финансовый результат (прибыль минус убыток) деятельности организаций, не относящихся к субъектам малого предпринимательства (далее – организации), составил </w:t>
      </w:r>
      <w:r w:rsidR="00A474E4">
        <w:rPr>
          <w:rFonts w:eastAsiaTheme="minorEastAsia"/>
          <w:sz w:val="28"/>
          <w:szCs w:val="28"/>
          <w:lang w:eastAsia="ru-RU"/>
        </w:rPr>
        <w:t xml:space="preserve">             </w:t>
      </w:r>
      <w:r w:rsidRPr="00D1527E">
        <w:rPr>
          <w:rFonts w:eastAsiaTheme="minorEastAsia"/>
          <w:sz w:val="28"/>
          <w:szCs w:val="28"/>
          <w:lang w:eastAsia="ru-RU"/>
        </w:rPr>
        <w:t>115 778,1 млн. руб. и</w:t>
      </w:r>
      <w:r w:rsidRPr="000A65B2">
        <w:rPr>
          <w:rFonts w:eastAsia="Calibri"/>
          <w:sz w:val="28"/>
          <w:szCs w:val="28"/>
          <w:lang w:eastAsia="en-US"/>
        </w:rPr>
        <w:t xml:space="preserve"> сложился из разницы между прибылью организаций в сумме 118 545,1 млн. руб., полученной 226 организациями, и убытком в сумме 2 767,0 млн. руб., полученным 64 организациями.</w:t>
      </w:r>
    </w:p>
    <w:p w:rsidR="00FC23FE"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Наибольший вклад (77,4%) в общий объём прибыли в 2021 году вложили крупнейшие экспортно-ориентированные химические предприятия ПАО «Тольятти</w:t>
      </w:r>
      <w:r w:rsidR="004917E0">
        <w:rPr>
          <w:rFonts w:eastAsia="Calibri"/>
          <w:sz w:val="28"/>
          <w:szCs w:val="28"/>
          <w:lang w:eastAsia="en-US"/>
        </w:rPr>
        <w:t>а</w:t>
      </w:r>
      <w:r w:rsidRPr="000A65B2">
        <w:rPr>
          <w:rFonts w:eastAsia="Calibri"/>
          <w:sz w:val="28"/>
          <w:szCs w:val="28"/>
          <w:lang w:eastAsia="en-US"/>
        </w:rPr>
        <w:t>зот» и ПАО «КуйбышевАзот», получившие рекордный за 10 лет объём прибыли за счёт роста спроса на минеральные удобрения и высоких цен на мировом химическом рынке.</w:t>
      </w:r>
    </w:p>
    <w:p w:rsidR="00FC23FE"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xml:space="preserve">Январь 2022 года также начался с рекордного роста прибыли в химическом производстве: в 11,6 раз по сравнению с январём 2021 года. Однако затем, в течение февраля – июня 2022 года, под влиянием внешнеполитических и внешнеэкономических негативных факторов рост прибыли начал сокращаться и составил: по итогам февраля </w:t>
      </w:r>
      <w:r w:rsidR="00A474E4">
        <w:rPr>
          <w:rFonts w:eastAsia="Calibri"/>
          <w:sz w:val="28"/>
          <w:szCs w:val="28"/>
          <w:lang w:eastAsia="en-US"/>
        </w:rPr>
        <w:t xml:space="preserve">- </w:t>
      </w:r>
      <w:r w:rsidRPr="000A65B2">
        <w:rPr>
          <w:rFonts w:eastAsia="Calibri"/>
          <w:sz w:val="28"/>
          <w:szCs w:val="28"/>
          <w:lang w:eastAsia="en-US"/>
        </w:rPr>
        <w:t>9,8 раза, марта – 6,0 раз, апреля – 3,7 раза, мая – 2,4 раза, июня – 1,9 раза. Таким образом, 77,0% прибыли на 01.07.2022 года получено в январе месяце (вместо среднемесячной доли в 16,7%).</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xml:space="preserve">В организациях других видов экономической деятельности после роста прибыли по итогам 2021 года, в I полугодии 2022 года вслед за сокращением производства наблюдалось снижение объемов прибыли в сравнении с соответствующим периодом прошлого года: </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xml:space="preserve">-  в производстве автотранспортных средств: 2021 год закончился с ростом прибыли в 2,2 раза относительно уровня 2020 года; по итогам января - марта 2022 года прибыль сократилась на 63,4%, по итогам января-июня – на 68,4% до 2 257,3 млн. руб.; </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в производстве резиновых и пластмассовых изделий: 2021 год закончился с ростом прибыли на 9,5%, январь 2022 года - с ростом прибыли в 1,6 раза, по итогам января - марта прибыль снизилась на 46,8%, января – июня – на 21,1% до 191,6 млн. руб.;</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в производстве электрического оборудования: по итогам 2021 года прибыль выросла в 1,8 раза, за январь 2022 года – в 9,6 раза, за январь-март снижение прибыли составило 15,8%, за январь – июнь – 50,1% до 55,2 млн. руб.;</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в производстве пищевых продуктов: 2021 год закончился с ростом прибыли на 9,9%, январь 2022 года – на 4,8%, по итогам января - марта прибыль снизилась на 28,7%, по итогам января – июня 2022 года прибыль вновь выросла на 18,2% и составила 1058,2 млн. руб.</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В оптовой и розничной торговле в течение I полугодии 2022 года наблюдался снижающийся рост прибыли: в январе в 6,3 раза, в январе-марте в 2,8 раза, в январе-июне на 10,8% (и составила 4 139,0 млн. руб.).</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xml:space="preserve">В целом по городскому округу Тольятти общий объём прибыли (до налогообложения) по крупным и средним организациям за январь-июнь 2022 года составил 73 253,9 млн. руб., что на 50,3% больше по сравнению с соответствующим периодом прошлого года.  </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В структуре прибыли наибольшая доля (85,3%) сформировалась в химическом производстве, в производстве автотранспортных средств она составила 3,1%, в торговле оптовой и розничной – 5,7%.</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xml:space="preserve">Доля прибыльных организаций в общем количестве наблюдаемых Самарастатом крупных и средних организаций составила 67,8%. </w:t>
      </w:r>
    </w:p>
    <w:p w:rsidR="00BB6164" w:rsidRDefault="000A65B2" w:rsidP="00BB6164">
      <w:pPr>
        <w:suppressAutoHyphens w:val="0"/>
        <w:autoSpaceDE w:val="0"/>
        <w:autoSpaceDN w:val="0"/>
        <w:adjustRightInd w:val="0"/>
        <w:spacing w:line="276" w:lineRule="auto"/>
        <w:rPr>
          <w:rFonts w:eastAsia="Calibri"/>
          <w:sz w:val="28"/>
          <w:szCs w:val="28"/>
          <w:lang w:eastAsia="en-US"/>
        </w:rPr>
      </w:pPr>
      <w:r w:rsidRPr="000A65B2">
        <w:rPr>
          <w:rFonts w:eastAsia="Calibri"/>
          <w:sz w:val="28"/>
          <w:szCs w:val="28"/>
          <w:lang w:eastAsia="en-US"/>
        </w:rPr>
        <w:t xml:space="preserve">В этом же отчётном периоде убыток организаций увеличился в 5,3 раза по сравнению с январём-июнем 2021 года и составил 6 802,3 млн. руб. Доля убыточных организаций выросла на 9,8 </w:t>
      </w:r>
      <w:r w:rsidR="00BB6164">
        <w:rPr>
          <w:rFonts w:eastAsia="Calibri"/>
          <w:sz w:val="28"/>
          <w:szCs w:val="28"/>
          <w:lang w:eastAsia="en-US"/>
        </w:rPr>
        <w:t>процентных пункта</w:t>
      </w:r>
      <w:r w:rsidRPr="000A65B2">
        <w:rPr>
          <w:rFonts w:eastAsia="Calibri"/>
          <w:sz w:val="28"/>
          <w:szCs w:val="28"/>
          <w:lang w:eastAsia="en-US"/>
        </w:rPr>
        <w:t xml:space="preserve"> до 32,2% (каждая третья организация потерпела убыток).</w:t>
      </w:r>
    </w:p>
    <w:p w:rsidR="000A65B2" w:rsidRPr="000A65B2" w:rsidRDefault="000A65B2" w:rsidP="00BB6164">
      <w:pPr>
        <w:suppressAutoHyphens w:val="0"/>
        <w:autoSpaceDE w:val="0"/>
        <w:autoSpaceDN w:val="0"/>
        <w:adjustRightInd w:val="0"/>
        <w:spacing w:line="276" w:lineRule="auto"/>
        <w:rPr>
          <w:rFonts w:eastAsia="Calibri"/>
          <w:b/>
          <w:sz w:val="28"/>
          <w:szCs w:val="28"/>
          <w:lang w:eastAsia="en-US"/>
        </w:rPr>
      </w:pPr>
      <w:r w:rsidRPr="000A65B2">
        <w:rPr>
          <w:rFonts w:eastAsia="Calibri"/>
          <w:sz w:val="28"/>
          <w:szCs w:val="28"/>
          <w:lang w:eastAsia="en-US"/>
        </w:rPr>
        <w:t xml:space="preserve">Наибольший вклад в рост убытка (в 55,6 раз) внесло производство автотранспортных средств. Объём убытка составил 5 194,8 млн. руб. или 76,4% от общего объёма убытка. Доля убыточных организаций в общем количестве организаций по данному виду деятельности составила 40,5%. </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Рост убытка в отчётном периоде сформировался также:</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в производстве химических веществ и химических продуктов на 5,7% (24,9 млн. руб.), убыточны 16,7% организаций;</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в производстве резиновых и пластмассовых изделий в 145,4 раза (51,8 млн. руб., убыточны 27,3%;</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в торговле оптовой и розничной на 71,6% (45,4 млн. руб.), убыточны 17,0% организаций;</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в транспортировке и хранении в 3,3 раза (171,1 млн. руб.), убыточны 60,0% организаций;</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в деятельности по операциям с недвижимым имуществом на 19,1% (305,6 млн. руб.), убыточны 47,8% организаций.</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xml:space="preserve">В рейтинге городов Приволжского федерального округа Тольятти вместе с Саранском заняли 13 место </w:t>
      </w:r>
      <w:r w:rsidR="000056CB">
        <w:rPr>
          <w:rFonts w:eastAsia="Calibri"/>
          <w:b w:val="0"/>
          <w:sz w:val="28"/>
          <w:szCs w:val="28"/>
          <w:lang w:eastAsia="en-US"/>
        </w:rPr>
        <w:t xml:space="preserve">из 15 </w:t>
      </w:r>
      <w:r w:rsidRPr="000A65B2">
        <w:rPr>
          <w:rFonts w:eastAsia="Calibri"/>
          <w:b w:val="0"/>
          <w:sz w:val="28"/>
          <w:szCs w:val="28"/>
          <w:lang w:eastAsia="en-US"/>
        </w:rPr>
        <w:t xml:space="preserve">по показателю «Удельный вес убыточных организаций» (32,2%). Однако, ни в одной из </w:t>
      </w:r>
      <w:r w:rsidR="000056CB">
        <w:rPr>
          <w:rFonts w:eastAsia="Calibri"/>
          <w:b w:val="0"/>
          <w:sz w:val="28"/>
          <w:szCs w:val="28"/>
          <w:lang w:eastAsia="en-US"/>
        </w:rPr>
        <w:t>областных центров</w:t>
      </w:r>
      <w:r w:rsidRPr="000A65B2">
        <w:rPr>
          <w:rFonts w:eastAsia="Calibri"/>
          <w:b w:val="0"/>
          <w:sz w:val="28"/>
          <w:szCs w:val="28"/>
          <w:lang w:eastAsia="en-US"/>
        </w:rPr>
        <w:t xml:space="preserve"> ПФО данный показатель не опустился ниже 20%. У Нижнего Новгорода (1 место) он составил 21,5%. На последнем  месте – Ижевск (33,6%).</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xml:space="preserve">Таким образом, за I полугодие 2022 года сформировался положительный сальдированный финансовый результат в размере 66 451,6 </w:t>
      </w:r>
      <w:r w:rsidR="008F54CC">
        <w:rPr>
          <w:rFonts w:eastAsia="Calibri"/>
          <w:b w:val="0"/>
          <w:sz w:val="28"/>
          <w:szCs w:val="28"/>
          <w:lang w:eastAsia="en-US"/>
        </w:rPr>
        <w:t>млн</w:t>
      </w:r>
      <w:r w:rsidRPr="000A65B2">
        <w:rPr>
          <w:rFonts w:eastAsia="Calibri"/>
          <w:b w:val="0"/>
          <w:sz w:val="28"/>
          <w:szCs w:val="28"/>
          <w:lang w:eastAsia="en-US"/>
        </w:rPr>
        <w:t>. руб., который на 40,0% превышает уровень января-июня прошлого года.</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xml:space="preserve">Оценка финансовых результатов деятельности организаций за 2022 год осуществляется в условиях высокой степени неопределенности. На формирование прибыли окажут влияние санкции со стороны США и стран Евросоюза, которые негативно отразятся на результатах финансовой деятельности предприятий химической промышленности, производства электрического оборудования, автотранспортных средств, резиновых и пластмассовых изделий и иных секторов экономики. Во II полугодии 2022 года, в целом, сохранится тенденция снижения прибыли по сравнению с началом года. </w:t>
      </w:r>
    </w:p>
    <w:p w:rsidR="000A65B2" w:rsidRPr="000A65B2" w:rsidRDefault="000A65B2" w:rsidP="004917E0">
      <w:pPr>
        <w:pStyle w:val="3"/>
        <w:spacing w:line="276" w:lineRule="auto"/>
        <w:ind w:left="0" w:firstLine="709"/>
        <w:jc w:val="both"/>
        <w:rPr>
          <w:rFonts w:eastAsia="Calibri"/>
          <w:b w:val="0"/>
          <w:sz w:val="28"/>
          <w:szCs w:val="28"/>
          <w:lang w:eastAsia="en-US"/>
        </w:rPr>
      </w:pPr>
      <w:r w:rsidRPr="000A65B2">
        <w:rPr>
          <w:rFonts w:eastAsia="Calibri"/>
          <w:b w:val="0"/>
          <w:sz w:val="28"/>
          <w:szCs w:val="28"/>
          <w:lang w:eastAsia="en-US"/>
        </w:rPr>
        <w:t xml:space="preserve">По оценке, в 2022 году прибыль до налогообложения крупных и средних предприятий с учётом ниспадающей динамики в течение января-июня снизится на 45,4% относительно уровня 2021 года и составит 64 680 </w:t>
      </w:r>
      <w:r w:rsidR="008F54CC">
        <w:rPr>
          <w:rFonts w:eastAsia="Calibri"/>
          <w:b w:val="0"/>
          <w:sz w:val="28"/>
          <w:szCs w:val="28"/>
          <w:lang w:eastAsia="en-US"/>
        </w:rPr>
        <w:t>млн</w:t>
      </w:r>
      <w:r w:rsidRPr="000A65B2">
        <w:rPr>
          <w:rFonts w:eastAsia="Calibri"/>
          <w:b w:val="0"/>
          <w:sz w:val="28"/>
          <w:szCs w:val="28"/>
          <w:lang w:eastAsia="en-US"/>
        </w:rPr>
        <w:t>. руб.</w:t>
      </w:r>
    </w:p>
    <w:p w:rsidR="000A65B2" w:rsidRPr="000A65B2" w:rsidRDefault="000A65B2" w:rsidP="004917E0">
      <w:pPr>
        <w:pStyle w:val="3"/>
        <w:spacing w:line="276" w:lineRule="auto"/>
        <w:ind w:left="0" w:firstLine="709"/>
        <w:jc w:val="both"/>
        <w:rPr>
          <w:rFonts w:eastAsia="Calibri"/>
          <w:b w:val="0"/>
          <w:sz w:val="28"/>
          <w:szCs w:val="28"/>
          <w:lang w:eastAsia="en-US"/>
        </w:rPr>
      </w:pPr>
      <w:r w:rsidRPr="000A65B2">
        <w:rPr>
          <w:rFonts w:eastAsia="Calibri"/>
          <w:b w:val="0"/>
          <w:sz w:val="28"/>
          <w:szCs w:val="28"/>
          <w:lang w:eastAsia="en-US"/>
        </w:rPr>
        <w:t>Основными сдерживающими факторами являются закрытие аммиакопровода ПАО «Тольяттиазот» через территорию Украины, возобновление работы которого зависит полностью от внешнеполитической ситуации, сокращение производства и реализации автомобилей, а также возникновение временных лагов для перенастройки логистических цепочек.</w:t>
      </w:r>
    </w:p>
    <w:p w:rsidR="000A65B2" w:rsidRPr="000A65B2" w:rsidRDefault="000A65B2" w:rsidP="0024684D">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 xml:space="preserve">Поддерживающим фактором могут стать программы льготного кредитования для предприятий ряда отраслей экономики, в том числе автопрома, запущенные в июле Минпромторгом России. </w:t>
      </w:r>
    </w:p>
    <w:p w:rsidR="000A65B2" w:rsidRPr="000A65B2" w:rsidRDefault="000A65B2" w:rsidP="000A65B2">
      <w:pPr>
        <w:pStyle w:val="3"/>
        <w:spacing w:line="276" w:lineRule="auto"/>
        <w:ind w:left="0" w:firstLine="720"/>
        <w:jc w:val="both"/>
        <w:rPr>
          <w:rFonts w:eastAsia="Calibri"/>
          <w:b w:val="0"/>
          <w:sz w:val="28"/>
          <w:szCs w:val="28"/>
          <w:lang w:eastAsia="en-US"/>
        </w:rPr>
      </w:pPr>
    </w:p>
    <w:p w:rsidR="000A65B2" w:rsidRDefault="000A65B2" w:rsidP="000A65B2">
      <w:pPr>
        <w:pStyle w:val="3"/>
        <w:ind w:left="0" w:firstLine="720"/>
        <w:rPr>
          <w:rFonts w:eastAsia="Calibri"/>
          <w:b w:val="0"/>
          <w:sz w:val="28"/>
          <w:szCs w:val="28"/>
          <w:lang w:eastAsia="en-US"/>
        </w:rPr>
      </w:pPr>
      <w:r w:rsidRPr="000A65B2">
        <w:rPr>
          <w:rFonts w:eastAsia="Calibri"/>
          <w:b w:val="0"/>
          <w:sz w:val="28"/>
          <w:szCs w:val="28"/>
          <w:lang w:eastAsia="en-US"/>
        </w:rPr>
        <w:t xml:space="preserve">Ожидаемое выполнение показателей </w:t>
      </w:r>
    </w:p>
    <w:p w:rsidR="000A65B2" w:rsidRDefault="000A65B2" w:rsidP="000A65B2">
      <w:pPr>
        <w:pStyle w:val="3"/>
        <w:ind w:left="0" w:firstLine="720"/>
        <w:rPr>
          <w:rFonts w:eastAsia="Calibri"/>
          <w:b w:val="0"/>
          <w:sz w:val="28"/>
          <w:szCs w:val="28"/>
          <w:lang w:eastAsia="en-US"/>
        </w:rPr>
      </w:pPr>
      <w:r w:rsidRPr="000A65B2">
        <w:rPr>
          <w:rFonts w:eastAsia="Calibri"/>
          <w:b w:val="0"/>
          <w:sz w:val="28"/>
          <w:szCs w:val="28"/>
          <w:lang w:eastAsia="en-US"/>
        </w:rPr>
        <w:t>по разделу «Финансы» на 2022 год</w:t>
      </w:r>
    </w:p>
    <w:p w:rsidR="000A65B2" w:rsidRDefault="000A65B2" w:rsidP="000A65B2">
      <w:pPr>
        <w:rPr>
          <w:lang w:eastAsia="en-US"/>
        </w:rPr>
      </w:pPr>
    </w:p>
    <w:tbl>
      <w:tblPr>
        <w:tblW w:w="9513" w:type="dxa"/>
        <w:tblInd w:w="93" w:type="dxa"/>
        <w:tblLook w:val="00A0" w:firstRow="1" w:lastRow="0" w:firstColumn="1" w:lastColumn="0" w:noHBand="0" w:noVBand="0"/>
      </w:tblPr>
      <w:tblGrid>
        <w:gridCol w:w="3081"/>
        <w:gridCol w:w="1848"/>
        <w:gridCol w:w="1366"/>
        <w:gridCol w:w="1342"/>
        <w:gridCol w:w="1876"/>
      </w:tblGrid>
      <w:tr w:rsidR="000A65B2" w:rsidRPr="0024684D" w:rsidTr="0024684D">
        <w:trPr>
          <w:trHeight w:val="491"/>
          <w:tblHeader/>
        </w:trPr>
        <w:tc>
          <w:tcPr>
            <w:tcW w:w="3081" w:type="dxa"/>
            <w:vMerge w:val="restart"/>
            <w:tcBorders>
              <w:top w:val="single" w:sz="4" w:space="0" w:color="auto"/>
              <w:left w:val="single" w:sz="4" w:space="0" w:color="auto"/>
              <w:bottom w:val="nil"/>
              <w:right w:val="single" w:sz="4" w:space="0" w:color="auto"/>
            </w:tcBorders>
            <w:vAlign w:val="center"/>
          </w:tcPr>
          <w:p w:rsidR="000A65B2" w:rsidRPr="0024684D" w:rsidRDefault="000A65B2" w:rsidP="000A65B2">
            <w:pPr>
              <w:suppressAutoHyphens w:val="0"/>
              <w:ind w:firstLine="0"/>
              <w:jc w:val="center"/>
              <w:rPr>
                <w:bCs/>
                <w:sz w:val="28"/>
                <w:szCs w:val="28"/>
                <w:lang w:eastAsia="ru-RU"/>
              </w:rPr>
            </w:pPr>
            <w:r w:rsidRPr="0024684D">
              <w:rPr>
                <w:bCs/>
                <w:sz w:val="28"/>
                <w:szCs w:val="28"/>
                <w:lang w:eastAsia="ru-RU"/>
              </w:rPr>
              <w:t>Показатели</w:t>
            </w:r>
          </w:p>
        </w:tc>
        <w:tc>
          <w:tcPr>
            <w:tcW w:w="1848" w:type="dxa"/>
            <w:vMerge w:val="restart"/>
            <w:tcBorders>
              <w:top w:val="single" w:sz="4" w:space="0" w:color="auto"/>
              <w:left w:val="single" w:sz="4" w:space="0" w:color="auto"/>
              <w:bottom w:val="nil"/>
              <w:right w:val="single" w:sz="4" w:space="0" w:color="auto"/>
            </w:tcBorders>
            <w:vAlign w:val="center"/>
          </w:tcPr>
          <w:p w:rsidR="000A65B2" w:rsidRPr="0024684D" w:rsidRDefault="000A65B2" w:rsidP="000A65B2">
            <w:pPr>
              <w:suppressAutoHyphens w:val="0"/>
              <w:ind w:firstLine="0"/>
              <w:jc w:val="center"/>
              <w:rPr>
                <w:bCs/>
                <w:sz w:val="28"/>
                <w:szCs w:val="28"/>
                <w:lang w:eastAsia="ru-RU"/>
              </w:rPr>
            </w:pPr>
            <w:r w:rsidRPr="0024684D">
              <w:rPr>
                <w:bCs/>
                <w:sz w:val="28"/>
                <w:szCs w:val="28"/>
                <w:lang w:eastAsia="ru-RU"/>
              </w:rPr>
              <w:t>Единица измерения</w:t>
            </w:r>
          </w:p>
        </w:tc>
        <w:tc>
          <w:tcPr>
            <w:tcW w:w="2708" w:type="dxa"/>
            <w:gridSpan w:val="2"/>
            <w:tcBorders>
              <w:top w:val="single" w:sz="4" w:space="0" w:color="auto"/>
              <w:left w:val="nil"/>
              <w:bottom w:val="nil"/>
              <w:right w:val="single" w:sz="4" w:space="0" w:color="000000"/>
            </w:tcBorders>
          </w:tcPr>
          <w:p w:rsidR="000A65B2" w:rsidRPr="0024684D" w:rsidRDefault="000A65B2" w:rsidP="0024684D">
            <w:pPr>
              <w:ind w:firstLine="0"/>
              <w:jc w:val="center"/>
              <w:rPr>
                <w:sz w:val="28"/>
                <w:szCs w:val="28"/>
              </w:rPr>
            </w:pPr>
            <w:r w:rsidRPr="0024684D">
              <w:rPr>
                <w:sz w:val="28"/>
                <w:szCs w:val="28"/>
              </w:rPr>
              <w:t>Прогноз на 2022 год</w:t>
            </w:r>
          </w:p>
        </w:tc>
        <w:tc>
          <w:tcPr>
            <w:tcW w:w="1876" w:type="dxa"/>
            <w:vMerge w:val="restart"/>
            <w:tcBorders>
              <w:top w:val="single" w:sz="4" w:space="0" w:color="auto"/>
              <w:right w:val="single" w:sz="4" w:space="0" w:color="auto"/>
            </w:tcBorders>
            <w:shd w:val="clear" w:color="auto" w:fill="auto"/>
          </w:tcPr>
          <w:p w:rsidR="000A65B2" w:rsidRPr="0024684D" w:rsidRDefault="000A65B2" w:rsidP="0024684D">
            <w:pPr>
              <w:suppressAutoHyphens w:val="0"/>
              <w:ind w:firstLine="0"/>
              <w:jc w:val="center"/>
              <w:rPr>
                <w:sz w:val="28"/>
                <w:szCs w:val="28"/>
              </w:rPr>
            </w:pPr>
            <w:r w:rsidRPr="0024684D">
              <w:rPr>
                <w:sz w:val="28"/>
                <w:szCs w:val="28"/>
              </w:rPr>
              <w:t>2022 год (оценка)</w:t>
            </w:r>
          </w:p>
        </w:tc>
      </w:tr>
      <w:tr w:rsidR="000A65B2" w:rsidRPr="0024684D" w:rsidTr="0024684D">
        <w:trPr>
          <w:trHeight w:val="407"/>
          <w:tblHeader/>
        </w:trPr>
        <w:tc>
          <w:tcPr>
            <w:tcW w:w="3081" w:type="dxa"/>
            <w:vMerge/>
            <w:tcBorders>
              <w:left w:val="single" w:sz="4" w:space="0" w:color="auto"/>
              <w:bottom w:val="single" w:sz="4" w:space="0" w:color="auto"/>
              <w:right w:val="single" w:sz="4" w:space="0" w:color="auto"/>
            </w:tcBorders>
            <w:vAlign w:val="center"/>
          </w:tcPr>
          <w:p w:rsidR="000A65B2" w:rsidRPr="0024684D" w:rsidRDefault="000A65B2" w:rsidP="000A65B2">
            <w:pPr>
              <w:suppressAutoHyphens w:val="0"/>
              <w:ind w:firstLine="0"/>
              <w:rPr>
                <w:b/>
                <w:bCs/>
                <w:sz w:val="28"/>
                <w:szCs w:val="28"/>
                <w:lang w:eastAsia="ru-RU"/>
              </w:rPr>
            </w:pPr>
          </w:p>
        </w:tc>
        <w:tc>
          <w:tcPr>
            <w:tcW w:w="1848" w:type="dxa"/>
            <w:vMerge/>
            <w:tcBorders>
              <w:left w:val="single" w:sz="4" w:space="0" w:color="auto"/>
              <w:bottom w:val="single" w:sz="4" w:space="0" w:color="auto"/>
              <w:right w:val="single" w:sz="4" w:space="0" w:color="auto"/>
            </w:tcBorders>
            <w:vAlign w:val="center"/>
          </w:tcPr>
          <w:p w:rsidR="000A65B2" w:rsidRPr="0024684D" w:rsidRDefault="000A65B2" w:rsidP="000A65B2">
            <w:pPr>
              <w:suppressAutoHyphens w:val="0"/>
              <w:ind w:firstLine="0"/>
              <w:rPr>
                <w:b/>
                <w:bCs/>
                <w:sz w:val="28"/>
                <w:szCs w:val="28"/>
                <w:lang w:eastAsia="ru-RU"/>
              </w:rPr>
            </w:pPr>
          </w:p>
        </w:tc>
        <w:tc>
          <w:tcPr>
            <w:tcW w:w="1366" w:type="dxa"/>
            <w:tcBorders>
              <w:top w:val="single" w:sz="4" w:space="0" w:color="auto"/>
              <w:left w:val="nil"/>
              <w:bottom w:val="single" w:sz="4" w:space="0" w:color="auto"/>
              <w:right w:val="single" w:sz="4" w:space="0" w:color="auto"/>
            </w:tcBorders>
            <w:vAlign w:val="center"/>
          </w:tcPr>
          <w:p w:rsidR="000A65B2" w:rsidRPr="0024684D" w:rsidRDefault="000A65B2" w:rsidP="0024684D">
            <w:pPr>
              <w:suppressAutoHyphens w:val="0"/>
              <w:ind w:firstLine="0"/>
              <w:jc w:val="center"/>
              <w:rPr>
                <w:bCs/>
                <w:sz w:val="28"/>
                <w:szCs w:val="28"/>
                <w:lang w:eastAsia="ru-RU"/>
              </w:rPr>
            </w:pPr>
            <w:r w:rsidRPr="0024684D">
              <w:rPr>
                <w:bCs/>
                <w:sz w:val="28"/>
                <w:szCs w:val="28"/>
                <w:lang w:eastAsia="ru-RU"/>
              </w:rPr>
              <w:t>1 вариант</w:t>
            </w:r>
          </w:p>
        </w:tc>
        <w:tc>
          <w:tcPr>
            <w:tcW w:w="1342" w:type="dxa"/>
            <w:tcBorders>
              <w:top w:val="single" w:sz="4" w:space="0" w:color="auto"/>
              <w:left w:val="nil"/>
              <w:bottom w:val="single" w:sz="4" w:space="0" w:color="auto"/>
              <w:right w:val="single" w:sz="4" w:space="0" w:color="auto"/>
            </w:tcBorders>
            <w:vAlign w:val="center"/>
          </w:tcPr>
          <w:p w:rsidR="000A65B2" w:rsidRPr="0024684D" w:rsidRDefault="000A65B2" w:rsidP="0024684D">
            <w:pPr>
              <w:suppressAutoHyphens w:val="0"/>
              <w:ind w:firstLine="0"/>
              <w:jc w:val="center"/>
              <w:rPr>
                <w:bCs/>
                <w:sz w:val="28"/>
                <w:szCs w:val="28"/>
                <w:lang w:eastAsia="ru-RU"/>
              </w:rPr>
            </w:pPr>
            <w:r w:rsidRPr="0024684D">
              <w:rPr>
                <w:bCs/>
                <w:sz w:val="28"/>
                <w:szCs w:val="28"/>
                <w:lang w:eastAsia="ru-RU"/>
              </w:rPr>
              <w:t>2 вариант</w:t>
            </w:r>
          </w:p>
        </w:tc>
        <w:tc>
          <w:tcPr>
            <w:tcW w:w="1876" w:type="dxa"/>
            <w:vMerge/>
            <w:tcBorders>
              <w:left w:val="single" w:sz="4" w:space="0" w:color="auto"/>
              <w:bottom w:val="single" w:sz="4" w:space="0" w:color="auto"/>
              <w:right w:val="single" w:sz="4" w:space="0" w:color="auto"/>
            </w:tcBorders>
          </w:tcPr>
          <w:p w:rsidR="000A65B2" w:rsidRPr="0024684D" w:rsidRDefault="000A65B2" w:rsidP="0024684D">
            <w:pPr>
              <w:suppressAutoHyphens w:val="0"/>
              <w:ind w:firstLine="0"/>
              <w:rPr>
                <w:b/>
                <w:bCs/>
                <w:sz w:val="28"/>
                <w:szCs w:val="28"/>
                <w:lang w:eastAsia="ru-RU"/>
              </w:rPr>
            </w:pPr>
          </w:p>
        </w:tc>
      </w:tr>
      <w:tr w:rsidR="000A65B2" w:rsidRPr="0024684D" w:rsidTr="0024684D">
        <w:trPr>
          <w:trHeight w:val="255"/>
        </w:trPr>
        <w:tc>
          <w:tcPr>
            <w:tcW w:w="3081" w:type="dxa"/>
            <w:tcBorders>
              <w:top w:val="nil"/>
              <w:left w:val="single" w:sz="4" w:space="0" w:color="auto"/>
              <w:bottom w:val="single" w:sz="4" w:space="0" w:color="auto"/>
              <w:right w:val="single" w:sz="4" w:space="0" w:color="auto"/>
            </w:tcBorders>
            <w:shd w:val="clear" w:color="000000" w:fill="FFFFFF"/>
            <w:vAlign w:val="center"/>
          </w:tcPr>
          <w:p w:rsidR="000A65B2" w:rsidRPr="0024684D" w:rsidRDefault="000A65B2" w:rsidP="000A65B2">
            <w:pPr>
              <w:suppressAutoHyphens w:val="0"/>
              <w:ind w:firstLine="0"/>
              <w:rPr>
                <w:sz w:val="28"/>
                <w:szCs w:val="28"/>
                <w:lang w:eastAsia="ru-RU"/>
              </w:rPr>
            </w:pPr>
            <w:r w:rsidRPr="0024684D">
              <w:rPr>
                <w:sz w:val="28"/>
                <w:szCs w:val="28"/>
                <w:lang w:eastAsia="ru-RU"/>
              </w:rPr>
              <w:t>Прибыль прибыльных организаций</w:t>
            </w:r>
          </w:p>
        </w:tc>
        <w:tc>
          <w:tcPr>
            <w:tcW w:w="1848" w:type="dxa"/>
            <w:tcBorders>
              <w:top w:val="nil"/>
              <w:left w:val="nil"/>
              <w:bottom w:val="single" w:sz="4" w:space="0" w:color="auto"/>
              <w:right w:val="single" w:sz="4" w:space="0" w:color="auto"/>
            </w:tcBorders>
            <w:vAlign w:val="center"/>
          </w:tcPr>
          <w:p w:rsidR="000A65B2" w:rsidRPr="0024684D" w:rsidRDefault="000A65B2" w:rsidP="000A65B2">
            <w:pPr>
              <w:suppressAutoHyphens w:val="0"/>
              <w:ind w:firstLine="0"/>
              <w:jc w:val="center"/>
              <w:rPr>
                <w:sz w:val="28"/>
                <w:szCs w:val="28"/>
                <w:lang w:eastAsia="ru-RU"/>
              </w:rPr>
            </w:pPr>
            <w:r w:rsidRPr="0024684D">
              <w:rPr>
                <w:sz w:val="28"/>
                <w:szCs w:val="28"/>
                <w:lang w:eastAsia="ru-RU"/>
              </w:rPr>
              <w:t>млн. рублей</w:t>
            </w:r>
          </w:p>
        </w:tc>
        <w:tc>
          <w:tcPr>
            <w:tcW w:w="1366" w:type="dxa"/>
            <w:tcBorders>
              <w:top w:val="nil"/>
              <w:left w:val="nil"/>
              <w:bottom w:val="single" w:sz="4" w:space="0" w:color="auto"/>
              <w:right w:val="single" w:sz="4" w:space="0" w:color="auto"/>
            </w:tcBorders>
            <w:vAlign w:val="center"/>
          </w:tcPr>
          <w:p w:rsidR="000A65B2" w:rsidRPr="0024684D" w:rsidRDefault="000A65B2" w:rsidP="000A65B2">
            <w:pPr>
              <w:suppressAutoHyphens w:val="0"/>
              <w:ind w:firstLine="0"/>
              <w:jc w:val="center"/>
              <w:rPr>
                <w:sz w:val="28"/>
                <w:szCs w:val="28"/>
                <w:lang w:eastAsia="ru-RU"/>
              </w:rPr>
            </w:pPr>
            <w:r w:rsidRPr="0024684D">
              <w:rPr>
                <w:sz w:val="28"/>
                <w:szCs w:val="28"/>
                <w:lang w:eastAsia="ru-RU"/>
              </w:rPr>
              <w:t>61 646</w:t>
            </w:r>
          </w:p>
        </w:tc>
        <w:tc>
          <w:tcPr>
            <w:tcW w:w="1342" w:type="dxa"/>
            <w:tcBorders>
              <w:top w:val="single" w:sz="4" w:space="0" w:color="auto"/>
              <w:left w:val="nil"/>
              <w:bottom w:val="single" w:sz="4" w:space="0" w:color="auto"/>
              <w:right w:val="single" w:sz="4" w:space="0" w:color="auto"/>
            </w:tcBorders>
            <w:vAlign w:val="center"/>
          </w:tcPr>
          <w:p w:rsidR="000A65B2" w:rsidRPr="0024684D" w:rsidRDefault="000A65B2" w:rsidP="000A65B2">
            <w:pPr>
              <w:suppressAutoHyphens w:val="0"/>
              <w:ind w:firstLine="0"/>
              <w:jc w:val="center"/>
              <w:rPr>
                <w:sz w:val="28"/>
                <w:szCs w:val="28"/>
                <w:lang w:eastAsia="ru-RU"/>
              </w:rPr>
            </w:pPr>
            <w:r w:rsidRPr="0024684D">
              <w:rPr>
                <w:sz w:val="28"/>
                <w:szCs w:val="28"/>
                <w:lang w:eastAsia="ru-RU"/>
              </w:rPr>
              <w:t>63 437</w:t>
            </w:r>
          </w:p>
        </w:tc>
        <w:tc>
          <w:tcPr>
            <w:tcW w:w="1876" w:type="dxa"/>
            <w:tcBorders>
              <w:top w:val="single" w:sz="4" w:space="0" w:color="auto"/>
              <w:left w:val="nil"/>
              <w:bottom w:val="single" w:sz="4" w:space="0" w:color="auto"/>
              <w:right w:val="single" w:sz="4" w:space="0" w:color="auto"/>
            </w:tcBorders>
            <w:vAlign w:val="center"/>
          </w:tcPr>
          <w:p w:rsidR="000A65B2" w:rsidRPr="0024684D" w:rsidRDefault="000A65B2" w:rsidP="000A65B2">
            <w:pPr>
              <w:suppressAutoHyphens w:val="0"/>
              <w:ind w:firstLine="0"/>
              <w:jc w:val="center"/>
              <w:rPr>
                <w:sz w:val="28"/>
                <w:szCs w:val="28"/>
                <w:lang w:eastAsia="ru-RU"/>
              </w:rPr>
            </w:pPr>
            <w:r w:rsidRPr="0024684D">
              <w:rPr>
                <w:sz w:val="28"/>
                <w:szCs w:val="28"/>
                <w:lang w:eastAsia="ru-RU"/>
              </w:rPr>
              <w:t>64 680</w:t>
            </w:r>
          </w:p>
        </w:tc>
      </w:tr>
    </w:tbl>
    <w:p w:rsidR="000A65B2" w:rsidRDefault="000A65B2" w:rsidP="000A65B2">
      <w:pPr>
        <w:ind w:firstLine="0"/>
        <w:rPr>
          <w:lang w:eastAsia="en-US"/>
        </w:rPr>
      </w:pPr>
    </w:p>
    <w:p w:rsidR="000056CB" w:rsidRPr="000A65B2" w:rsidRDefault="000056CB" w:rsidP="000056CB">
      <w:pPr>
        <w:pStyle w:val="3"/>
        <w:spacing w:line="276" w:lineRule="auto"/>
        <w:ind w:left="0" w:firstLine="720"/>
        <w:jc w:val="both"/>
        <w:rPr>
          <w:rFonts w:eastAsia="Calibri"/>
          <w:b w:val="0"/>
          <w:sz w:val="28"/>
          <w:szCs w:val="28"/>
          <w:lang w:eastAsia="en-US"/>
        </w:rPr>
      </w:pPr>
      <w:r w:rsidRPr="000A65B2">
        <w:rPr>
          <w:rFonts w:eastAsia="Calibri"/>
          <w:b w:val="0"/>
          <w:sz w:val="28"/>
          <w:szCs w:val="28"/>
          <w:lang w:eastAsia="en-US"/>
        </w:rPr>
        <w:t>Корректировка объема прибыли организаций на 2022 год по сравнению с прогнозом на 2022 год незначительна (+ 1243 млн. руб. или 2,0%).</w:t>
      </w:r>
    </w:p>
    <w:p w:rsidR="000056CB" w:rsidRPr="000A65B2" w:rsidRDefault="000056CB" w:rsidP="004917E0">
      <w:pPr>
        <w:pStyle w:val="3"/>
        <w:spacing w:after="120" w:line="276" w:lineRule="auto"/>
        <w:ind w:left="0" w:firstLine="720"/>
        <w:jc w:val="both"/>
        <w:rPr>
          <w:rFonts w:eastAsia="Calibri"/>
          <w:b w:val="0"/>
          <w:sz w:val="28"/>
          <w:szCs w:val="28"/>
          <w:lang w:eastAsia="en-US"/>
        </w:rPr>
      </w:pPr>
      <w:r w:rsidRPr="000A65B2">
        <w:rPr>
          <w:rFonts w:eastAsia="Calibri"/>
          <w:b w:val="0"/>
          <w:sz w:val="28"/>
          <w:szCs w:val="28"/>
          <w:lang w:eastAsia="en-US"/>
        </w:rPr>
        <w:t>Показатели доходов и расходов всех уровней бюджетной системы России и государственных внебюджетных фондов на территории городского округа Тольятти исключены из прогнозируемых показателей в 2022 году в связи с переходом налоговых органов на новое программное обеспечение, не позволяющее формировать отчётные данные в разрезе по муниципальным образованиям. По этой же причине, в частности, отсутствия в 2022 году отчётных данных о поступлении налога на прибыль по полному кругу лиц, прибыль прогнозируется по крупным и средним организациям (без малых).</w:t>
      </w:r>
    </w:p>
    <w:p w:rsidR="00A50BA4" w:rsidRPr="00F81B58" w:rsidRDefault="00A50BA4" w:rsidP="004917E0">
      <w:pPr>
        <w:pStyle w:val="3"/>
        <w:suppressAutoHyphens w:val="0"/>
        <w:spacing w:after="120"/>
        <w:rPr>
          <w:sz w:val="28"/>
          <w:szCs w:val="28"/>
        </w:rPr>
      </w:pPr>
      <w:r w:rsidRPr="00F81B58">
        <w:rPr>
          <w:sz w:val="28"/>
          <w:szCs w:val="28"/>
        </w:rPr>
        <w:t>Демография и занятость населения</w:t>
      </w:r>
      <w:bookmarkStart w:id="8" w:name="демогр"/>
      <w:bookmarkEnd w:id="8"/>
    </w:p>
    <w:p w:rsidR="00BA753B" w:rsidRDefault="000A65B2" w:rsidP="004917E0">
      <w:pPr>
        <w:spacing w:after="120"/>
        <w:ind w:firstLine="0"/>
        <w:jc w:val="center"/>
        <w:rPr>
          <w:sz w:val="28"/>
          <w:szCs w:val="28"/>
          <w:lang w:eastAsia="en-US"/>
        </w:rPr>
      </w:pPr>
      <w:r w:rsidRPr="00F81B58">
        <w:rPr>
          <w:sz w:val="28"/>
          <w:szCs w:val="28"/>
          <w:lang w:eastAsia="en-US"/>
        </w:rPr>
        <w:t>Демография</w:t>
      </w:r>
    </w:p>
    <w:p w:rsidR="000056CB" w:rsidRDefault="00F81B58" w:rsidP="00D91412">
      <w:pPr>
        <w:spacing w:line="276" w:lineRule="auto"/>
        <w:rPr>
          <w:sz w:val="28"/>
          <w:szCs w:val="28"/>
          <w:lang w:eastAsia="en-US"/>
        </w:rPr>
      </w:pPr>
      <w:r w:rsidRPr="00404715">
        <w:rPr>
          <w:sz w:val="28"/>
          <w:szCs w:val="28"/>
          <w:lang w:eastAsia="en-US"/>
        </w:rPr>
        <w:t>Демографическая ситуация в городском округе Тольятти, как и в целом по Самарской области, остается достаточно сложной, и характеризуется следующим образом.</w:t>
      </w:r>
    </w:p>
    <w:p w:rsidR="000056CB" w:rsidRDefault="00F81B58" w:rsidP="00D91412">
      <w:pPr>
        <w:spacing w:line="276" w:lineRule="auto"/>
        <w:rPr>
          <w:sz w:val="28"/>
          <w:szCs w:val="28"/>
          <w:lang w:eastAsia="en-US"/>
        </w:rPr>
      </w:pPr>
      <w:r w:rsidRPr="002831B8">
        <w:rPr>
          <w:sz w:val="28"/>
          <w:szCs w:val="28"/>
          <w:lang w:eastAsia="en-US"/>
        </w:rPr>
        <w:t>П</w:t>
      </w:r>
      <w:r>
        <w:rPr>
          <w:sz w:val="28"/>
          <w:szCs w:val="28"/>
          <w:lang w:eastAsia="en-US"/>
        </w:rPr>
        <w:t xml:space="preserve">о </w:t>
      </w:r>
      <w:r w:rsidRPr="002831B8">
        <w:rPr>
          <w:sz w:val="28"/>
          <w:szCs w:val="28"/>
          <w:lang w:eastAsia="en-US"/>
        </w:rPr>
        <w:t xml:space="preserve">данным Самарастата численность постоянного населения городского округа Тольятти </w:t>
      </w:r>
      <w:r>
        <w:rPr>
          <w:sz w:val="28"/>
          <w:szCs w:val="28"/>
          <w:lang w:eastAsia="en-US"/>
        </w:rPr>
        <w:t>н</w:t>
      </w:r>
      <w:r w:rsidRPr="00404715">
        <w:rPr>
          <w:sz w:val="28"/>
          <w:szCs w:val="28"/>
          <w:lang w:eastAsia="en-US"/>
        </w:rPr>
        <w:t xml:space="preserve">а </w:t>
      </w:r>
      <w:r>
        <w:rPr>
          <w:sz w:val="28"/>
          <w:szCs w:val="28"/>
          <w:lang w:eastAsia="en-US"/>
        </w:rPr>
        <w:t>начало 2022 года</w:t>
      </w:r>
      <w:r w:rsidRPr="00404715">
        <w:rPr>
          <w:sz w:val="28"/>
          <w:szCs w:val="28"/>
          <w:lang w:eastAsia="en-US"/>
        </w:rPr>
        <w:t xml:space="preserve"> состав</w:t>
      </w:r>
      <w:r w:rsidR="009A0A7B">
        <w:rPr>
          <w:sz w:val="28"/>
          <w:szCs w:val="28"/>
          <w:lang w:eastAsia="en-US"/>
        </w:rPr>
        <w:t>ляла</w:t>
      </w:r>
      <w:r w:rsidRPr="00404715">
        <w:rPr>
          <w:sz w:val="28"/>
          <w:szCs w:val="28"/>
          <w:lang w:eastAsia="en-US"/>
        </w:rPr>
        <w:t xml:space="preserve"> 685,6 тыс. человек, снизившись на 34,0 тыс. человек к 2010 </w:t>
      </w:r>
      <w:r w:rsidRPr="005C2E8F">
        <w:rPr>
          <w:sz w:val="28"/>
          <w:szCs w:val="28"/>
          <w:lang w:eastAsia="en-US"/>
        </w:rPr>
        <w:t>году. Доля мужчин в общей численности населения составляет - 45,6%, женщин – 54,4%.</w:t>
      </w:r>
      <w:r w:rsidR="009A0A7B">
        <w:rPr>
          <w:sz w:val="28"/>
          <w:szCs w:val="28"/>
          <w:lang w:eastAsia="en-US"/>
        </w:rPr>
        <w:t xml:space="preserve"> </w:t>
      </w:r>
    </w:p>
    <w:p w:rsidR="000056CB" w:rsidRDefault="009A0A7B" w:rsidP="000056CB">
      <w:pPr>
        <w:spacing w:line="276" w:lineRule="auto"/>
        <w:rPr>
          <w:sz w:val="28"/>
          <w:szCs w:val="28"/>
          <w:lang w:eastAsia="en-US"/>
        </w:rPr>
      </w:pPr>
      <w:r>
        <w:rPr>
          <w:sz w:val="28"/>
          <w:szCs w:val="28"/>
          <w:lang w:eastAsia="en-US"/>
        </w:rPr>
        <w:t>В текущем году Самарастат опубликовал сведения об итогах Всероссийской переписи населения, которая была проведена в 2021 году. На момент проведения переписи в городском округе Тольятти проживало 684,7 тыс. человек.</w:t>
      </w:r>
    </w:p>
    <w:p w:rsidR="00F81B58" w:rsidRPr="00500C3F" w:rsidRDefault="00F81B58" w:rsidP="000056CB">
      <w:pPr>
        <w:spacing w:line="276" w:lineRule="auto"/>
        <w:rPr>
          <w:sz w:val="28"/>
          <w:szCs w:val="28"/>
          <w:lang w:eastAsia="en-US"/>
        </w:rPr>
      </w:pPr>
      <w:r w:rsidRPr="00500C3F">
        <w:rPr>
          <w:sz w:val="28"/>
          <w:szCs w:val="28"/>
          <w:lang w:eastAsia="en-US"/>
        </w:rPr>
        <w:t>Начиная с 2017 года в городе наблюдается естественная убыль населения: в 2021 году – 5416 человек, в 2020 году – 4844 человек, в 2019 году – 1842 человек, в 2018 году – 1504 человек, в 2017 году – 714 человек.</w:t>
      </w:r>
    </w:p>
    <w:p w:rsidR="00F81B58" w:rsidRPr="002C0219" w:rsidRDefault="00F81B58" w:rsidP="00F81B58">
      <w:pPr>
        <w:pStyle w:val="aff0"/>
        <w:keepNext/>
        <w:numPr>
          <w:ilvl w:val="0"/>
          <w:numId w:val="5"/>
        </w:numPr>
        <w:tabs>
          <w:tab w:val="num" w:pos="-141"/>
          <w:tab w:val="left" w:pos="142"/>
          <w:tab w:val="left" w:pos="9720"/>
        </w:tabs>
        <w:suppressAutoHyphens w:val="0"/>
        <w:spacing w:line="276" w:lineRule="auto"/>
        <w:ind w:left="0" w:firstLine="709"/>
        <w:textAlignment w:val="top"/>
        <w:rPr>
          <w:szCs w:val="28"/>
          <w:lang w:eastAsia="en-US"/>
        </w:rPr>
      </w:pPr>
      <w:r w:rsidRPr="00500C3F">
        <w:rPr>
          <w:szCs w:val="28"/>
          <w:lang w:eastAsia="en-US"/>
        </w:rPr>
        <w:t>Естественная убыль населения городского округа Тольятти формируется в результате роста смертности и снижения рождаемости. Так, в 2021 году родилось 5,53 тыс. человек, а умерло 10,95 тыс. человек</w:t>
      </w:r>
      <w:r w:rsidRPr="002C0219">
        <w:rPr>
          <w:szCs w:val="28"/>
          <w:lang w:eastAsia="en-US"/>
        </w:rPr>
        <w:t>.  Для сравнения, в 2015 году аналогичные показатели были на уровне 9,49 человек и 8,34 человек соответственно.</w:t>
      </w:r>
    </w:p>
    <w:p w:rsidR="00F81B58" w:rsidRPr="00516B07" w:rsidRDefault="00F81B58" w:rsidP="00F81B58">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16B07">
        <w:rPr>
          <w:sz w:val="28"/>
          <w:szCs w:val="28"/>
          <w:lang w:eastAsia="en-US"/>
        </w:rPr>
        <w:t xml:space="preserve">Ухудшение показателей рождаемости объясняется, прежде всего, тем, что в настоящее время в активном репродуктивном возрасте находится малочисленное поколение, рожденное в 90-е и в начале двухтысячных годов. Кроме этого, данная категория населения является наиболее мобильной и склонна к миграции. </w:t>
      </w:r>
    </w:p>
    <w:p w:rsidR="003629F5" w:rsidRPr="00817E96" w:rsidRDefault="00F81B58" w:rsidP="00792F2B">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817E96">
        <w:rPr>
          <w:sz w:val="28"/>
          <w:szCs w:val="28"/>
          <w:lang w:eastAsia="en-US"/>
        </w:rPr>
        <w:t>Рост смертности в городском округе Тольятти вызван, прежде всего</w:t>
      </w:r>
      <w:r w:rsidR="00D91412" w:rsidRPr="00817E96">
        <w:rPr>
          <w:sz w:val="28"/>
          <w:szCs w:val="28"/>
          <w:lang w:eastAsia="en-US"/>
        </w:rPr>
        <w:t>,</w:t>
      </w:r>
      <w:r w:rsidRPr="00817E96">
        <w:rPr>
          <w:sz w:val="28"/>
          <w:szCs w:val="28"/>
          <w:lang w:eastAsia="en-US"/>
        </w:rPr>
        <w:t xml:space="preserve"> так называемым «старением» населения. </w:t>
      </w:r>
      <w:r w:rsidR="003629F5" w:rsidRPr="00817E96">
        <w:rPr>
          <w:sz w:val="28"/>
          <w:szCs w:val="28"/>
          <w:lang w:eastAsia="en-US"/>
        </w:rPr>
        <w:t>Так, численность населения трудоспособного возраста ежегодно р</w:t>
      </w:r>
      <w:r w:rsidR="00817E96">
        <w:rPr>
          <w:sz w:val="28"/>
          <w:szCs w:val="28"/>
          <w:lang w:eastAsia="en-US"/>
        </w:rPr>
        <w:t>астет</w:t>
      </w:r>
      <w:r w:rsidR="003629F5" w:rsidRPr="00817E96">
        <w:rPr>
          <w:sz w:val="28"/>
          <w:szCs w:val="28"/>
          <w:lang w:eastAsia="en-US"/>
        </w:rPr>
        <w:t xml:space="preserve"> в среднем на 3,2 тыс. человек в год. За последние 10 лет численность населения старше трудоспособного возраста выросла на 9,9 тыс. человек. Это привело к сокращению населения в трудоспособном возрасте, численность которого составила </w:t>
      </w:r>
      <w:r w:rsidR="006970C6" w:rsidRPr="00817E96">
        <w:rPr>
          <w:sz w:val="28"/>
          <w:szCs w:val="28"/>
          <w:lang w:eastAsia="en-US"/>
        </w:rPr>
        <w:t>на начало</w:t>
      </w:r>
      <w:r w:rsidR="003629F5" w:rsidRPr="00817E96">
        <w:rPr>
          <w:sz w:val="28"/>
          <w:szCs w:val="28"/>
          <w:lang w:eastAsia="en-US"/>
        </w:rPr>
        <w:t xml:space="preserve"> 2021 год</w:t>
      </w:r>
      <w:r w:rsidR="006970C6" w:rsidRPr="00817E96">
        <w:rPr>
          <w:sz w:val="28"/>
          <w:szCs w:val="28"/>
          <w:lang w:eastAsia="en-US"/>
        </w:rPr>
        <w:t>а</w:t>
      </w:r>
      <w:r w:rsidR="003629F5" w:rsidRPr="00817E96">
        <w:rPr>
          <w:sz w:val="28"/>
          <w:szCs w:val="28"/>
          <w:lang w:eastAsia="en-US"/>
        </w:rPr>
        <w:t xml:space="preserve"> </w:t>
      </w:r>
      <w:r w:rsidR="006970C6" w:rsidRPr="00817E96">
        <w:rPr>
          <w:sz w:val="28"/>
          <w:szCs w:val="28"/>
          <w:lang w:eastAsia="en-US"/>
        </w:rPr>
        <w:t>396,7</w:t>
      </w:r>
      <w:r w:rsidR="003629F5" w:rsidRPr="00817E96">
        <w:rPr>
          <w:sz w:val="28"/>
          <w:szCs w:val="28"/>
          <w:lang w:eastAsia="en-US"/>
        </w:rPr>
        <w:t xml:space="preserve"> тыс. человек. В результате средний возраст жителей городского округа Тольятти увеличился до 41,2 лет в 2021 году (в 2010 году составлял 38,4 года), при этом средний возраст жителей Самарской области выше и составляет 41,5 года, а по Российской Федерации ниже - 40,5 года. Средний возраст матери при рождении ребенка также растет и на начало 2022 года составил 30,32 года (по Самарской области - 28,97 лет).</w:t>
      </w:r>
    </w:p>
    <w:p w:rsidR="003629F5" w:rsidRPr="007C66B0" w:rsidRDefault="003629F5" w:rsidP="003629F5">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627203">
        <w:rPr>
          <w:sz w:val="28"/>
          <w:szCs w:val="28"/>
          <w:lang w:eastAsia="en-US"/>
        </w:rPr>
        <w:t xml:space="preserve">В </w:t>
      </w:r>
      <w:r w:rsidR="006970C6">
        <w:rPr>
          <w:sz w:val="28"/>
          <w:szCs w:val="28"/>
          <w:lang w:eastAsia="en-US"/>
        </w:rPr>
        <w:t>2020-</w:t>
      </w:r>
      <w:r w:rsidRPr="00627203">
        <w:rPr>
          <w:sz w:val="28"/>
          <w:szCs w:val="28"/>
          <w:lang w:eastAsia="en-US"/>
        </w:rPr>
        <w:t>2021 год</w:t>
      </w:r>
      <w:r w:rsidR="006970C6">
        <w:rPr>
          <w:sz w:val="28"/>
          <w:szCs w:val="28"/>
          <w:lang w:eastAsia="en-US"/>
        </w:rPr>
        <w:t>ах</w:t>
      </w:r>
      <w:r w:rsidRPr="00627203">
        <w:rPr>
          <w:sz w:val="28"/>
          <w:szCs w:val="28"/>
          <w:lang w:eastAsia="en-US"/>
        </w:rPr>
        <w:t xml:space="preserve"> дополнительным негативным фактором, повлиявшим на ухудшение показателей смертности, стала сложная эпидемиологическая обстановка, связанная с распространением новой коронавирусной инфекции: количество умерших за 2021 год выросло на 5,3% к 2020 году и составило 10,9 тыс. человек.  </w:t>
      </w:r>
    </w:p>
    <w:p w:rsidR="003629F5" w:rsidRPr="00303984" w:rsidRDefault="003629F5" w:rsidP="003629F5">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303984">
        <w:rPr>
          <w:sz w:val="28"/>
          <w:szCs w:val="28"/>
          <w:lang w:eastAsia="en-US"/>
        </w:rPr>
        <w:t>По сведениям Самарастата, основными причинами смертности (по данным за 2021 год) стали:</w:t>
      </w:r>
    </w:p>
    <w:p w:rsidR="003629F5" w:rsidRPr="0082738D" w:rsidRDefault="003629F5" w:rsidP="003629F5">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303984">
        <w:rPr>
          <w:sz w:val="28"/>
          <w:szCs w:val="28"/>
          <w:lang w:eastAsia="en-US"/>
        </w:rPr>
        <w:t xml:space="preserve">- болезни системы кровообращения – 4002 человек или 36,6% (на 494 </w:t>
      </w:r>
      <w:r w:rsidRPr="0082738D">
        <w:rPr>
          <w:sz w:val="28"/>
          <w:szCs w:val="28"/>
          <w:lang w:eastAsia="en-US"/>
        </w:rPr>
        <w:t>человек меньше 2020 года);</w:t>
      </w:r>
    </w:p>
    <w:p w:rsidR="003629F5" w:rsidRPr="0082738D" w:rsidRDefault="003629F5" w:rsidP="003629F5">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82738D">
        <w:rPr>
          <w:sz w:val="28"/>
          <w:szCs w:val="28"/>
          <w:lang w:eastAsia="en-US"/>
        </w:rPr>
        <w:t>- от новообразований – 1250 человек или 12,4% (на 11,4 человек меньше 2020 года);</w:t>
      </w:r>
    </w:p>
    <w:p w:rsidR="003629F5" w:rsidRPr="0082738D" w:rsidRDefault="003629F5" w:rsidP="003629F5">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82738D">
        <w:rPr>
          <w:sz w:val="28"/>
          <w:szCs w:val="28"/>
          <w:lang w:eastAsia="en-US"/>
        </w:rPr>
        <w:t>- от несчастных случаев, отравлений, травм – 1005 человек или 9,2% (на 3 человек меньше 2020 года).</w:t>
      </w:r>
    </w:p>
    <w:p w:rsidR="00EB73ED" w:rsidRPr="003629F5" w:rsidRDefault="003629F5" w:rsidP="003629F5">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A75057">
        <w:rPr>
          <w:sz w:val="28"/>
          <w:szCs w:val="28"/>
          <w:lang w:eastAsia="en-US"/>
        </w:rPr>
        <w:t xml:space="preserve">От коронавирусной инфекции, вызванной </w:t>
      </w:r>
      <w:r w:rsidRPr="00A75057">
        <w:rPr>
          <w:sz w:val="28"/>
          <w:szCs w:val="28"/>
          <w:lang w:val="en-US" w:eastAsia="en-US"/>
        </w:rPr>
        <w:t>COVID</w:t>
      </w:r>
      <w:r w:rsidR="00500A9C">
        <w:rPr>
          <w:sz w:val="28"/>
          <w:szCs w:val="28"/>
          <w:lang w:eastAsia="en-US"/>
        </w:rPr>
        <w:t>-</w:t>
      </w:r>
      <w:r w:rsidRPr="00A75057">
        <w:rPr>
          <w:sz w:val="28"/>
          <w:szCs w:val="28"/>
          <w:lang w:eastAsia="en-US"/>
        </w:rPr>
        <w:t>19, в 2021 году умерло 2068 граждан городского округа Тольятти, в том числе 870 мужчины и 1198 женщин</w:t>
      </w:r>
      <w:r>
        <w:rPr>
          <w:sz w:val="28"/>
          <w:szCs w:val="28"/>
          <w:lang w:eastAsia="en-US"/>
        </w:rPr>
        <w:t>.</w:t>
      </w:r>
    </w:p>
    <w:p w:rsidR="00F81B58" w:rsidRPr="002C2EC6" w:rsidRDefault="00F81B58" w:rsidP="00F81B58">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BD5B74">
        <w:rPr>
          <w:sz w:val="28"/>
          <w:szCs w:val="28"/>
          <w:lang w:eastAsia="en-US"/>
        </w:rPr>
        <w:t xml:space="preserve">При этом, ситуация со смертностью в городском округе Тольятти </w:t>
      </w:r>
      <w:r w:rsidRPr="002C2EC6">
        <w:rPr>
          <w:sz w:val="28"/>
          <w:szCs w:val="28"/>
          <w:lang w:eastAsia="en-US"/>
        </w:rPr>
        <w:t>сложилась лучше, чем в других городских округах Самарской области: количество умерших на 1000 человек</w:t>
      </w:r>
      <w:r w:rsidRPr="00BD5B74">
        <w:rPr>
          <w:sz w:val="28"/>
          <w:szCs w:val="28"/>
          <w:lang w:eastAsia="en-US"/>
        </w:rPr>
        <w:t xml:space="preserve"> населения в 2021 году в городском округе Тольятти </w:t>
      </w:r>
      <w:r w:rsidRPr="002C2EC6">
        <w:rPr>
          <w:sz w:val="28"/>
          <w:szCs w:val="28"/>
          <w:lang w:eastAsia="en-US"/>
        </w:rPr>
        <w:t xml:space="preserve">составило 15,9 промилле и это лучший результат. Для сравнения, в г.о. Жигулевск – 23,1 промилле, г.о. Сызрань – 21,6 промилле, г.о. Самара – 19,1 промилле.   </w:t>
      </w:r>
    </w:p>
    <w:p w:rsidR="00F81B58" w:rsidRPr="004D45A4" w:rsidRDefault="00F81B58" w:rsidP="00F81B58">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4D45A4">
        <w:rPr>
          <w:sz w:val="28"/>
          <w:szCs w:val="28"/>
          <w:lang w:eastAsia="en-US"/>
        </w:rPr>
        <w:t>В сфере миграции населения с 2010 года в результате массовых сокращений работников с градообразующего предприятия АО «АВТОВАЗ» и других предприятий автомобилестроения в период финансово-экономическ</w:t>
      </w:r>
      <w:r w:rsidR="00500A9C">
        <w:rPr>
          <w:sz w:val="28"/>
          <w:szCs w:val="28"/>
          <w:lang w:eastAsia="en-US"/>
        </w:rPr>
        <w:t>их</w:t>
      </w:r>
      <w:r w:rsidRPr="004D45A4">
        <w:rPr>
          <w:sz w:val="28"/>
          <w:szCs w:val="28"/>
          <w:lang w:eastAsia="en-US"/>
        </w:rPr>
        <w:t xml:space="preserve"> кризис</w:t>
      </w:r>
      <w:r w:rsidR="00500A9C">
        <w:rPr>
          <w:sz w:val="28"/>
          <w:szCs w:val="28"/>
          <w:lang w:eastAsia="en-US"/>
        </w:rPr>
        <w:t>ов</w:t>
      </w:r>
      <w:r w:rsidRPr="004D45A4">
        <w:rPr>
          <w:sz w:val="28"/>
          <w:szCs w:val="28"/>
          <w:lang w:eastAsia="en-US"/>
        </w:rPr>
        <w:t xml:space="preserve"> 2009 года и 2014 года, наблюдался  существенный рост безработицы, что в свою очередь повлекло миграционный отток населения. Миграционная убыль населения в городском округе Тольятти была настолько велика (например, в 2015 году - 8,2 тыс. человек), что естественный прирост не мог ее компенсировать. В последующие годы масштабы миграции сократились.</w:t>
      </w:r>
    </w:p>
    <w:p w:rsidR="00220E21" w:rsidRPr="00890AA8" w:rsidRDefault="00F81B58" w:rsidP="00F81B58">
      <w:pPr>
        <w:keepNext/>
        <w:suppressAutoHyphens w:val="0"/>
        <w:spacing w:line="276" w:lineRule="auto"/>
        <w:rPr>
          <w:sz w:val="28"/>
          <w:szCs w:val="28"/>
          <w:highlight w:val="yellow"/>
          <w:lang w:eastAsia="en-US"/>
        </w:rPr>
      </w:pPr>
      <w:r w:rsidRPr="004D45A4">
        <w:rPr>
          <w:sz w:val="28"/>
          <w:szCs w:val="28"/>
          <w:lang w:eastAsia="en-US"/>
        </w:rPr>
        <w:t xml:space="preserve">В 2021 году сальдо миграции в городском округе сохранилось отрицательным и составило -2,04 тыс. человек </w:t>
      </w:r>
      <w:r w:rsidRPr="00934991">
        <w:rPr>
          <w:sz w:val="28"/>
          <w:szCs w:val="28"/>
          <w:lang w:eastAsia="en-US"/>
        </w:rPr>
        <w:t xml:space="preserve">в связи с </w:t>
      </w:r>
      <w:r w:rsidRPr="00DE1C90">
        <w:rPr>
          <w:sz w:val="28"/>
          <w:szCs w:val="28"/>
          <w:lang w:eastAsia="en-US"/>
        </w:rPr>
        <w:t>введением ограничительных мер, направленных на сдерживание распространения новой коронавирусной инфекции (в</w:t>
      </w:r>
      <w:r w:rsidRPr="007E4C9D">
        <w:rPr>
          <w:sz w:val="28"/>
          <w:szCs w:val="28"/>
          <w:lang w:eastAsia="en-US"/>
        </w:rPr>
        <w:t xml:space="preserve"> 2020 году миграционная убыль составила 1,42 тыс. человек, в 2019 году – 1,56 тыс. человек,  в 2018 году - 3,1 тыс. человек, в 2017 году -2,45 тыс. человек). </w:t>
      </w:r>
    </w:p>
    <w:p w:rsidR="00206BF5" w:rsidRPr="00357F57" w:rsidRDefault="00206BF5" w:rsidP="00797B96">
      <w:pPr>
        <w:widowControl w:val="0"/>
        <w:suppressAutoHyphens w:val="0"/>
        <w:spacing w:line="276" w:lineRule="auto"/>
        <w:rPr>
          <w:sz w:val="28"/>
          <w:szCs w:val="28"/>
          <w:lang w:eastAsia="en-US"/>
        </w:rPr>
      </w:pPr>
      <w:r w:rsidRPr="00797B96">
        <w:rPr>
          <w:sz w:val="28"/>
          <w:szCs w:val="28"/>
          <w:lang w:eastAsia="en-US"/>
        </w:rPr>
        <w:t xml:space="preserve">Основной причиной </w:t>
      </w:r>
      <w:r w:rsidR="00D27A42" w:rsidRPr="00797B96">
        <w:rPr>
          <w:sz w:val="28"/>
          <w:szCs w:val="28"/>
          <w:lang w:eastAsia="en-US"/>
        </w:rPr>
        <w:t>смены места жительства, по данным Самарастата,</w:t>
      </w:r>
      <w:r w:rsidRPr="00797B96">
        <w:rPr>
          <w:sz w:val="28"/>
          <w:szCs w:val="28"/>
          <w:lang w:eastAsia="en-US"/>
        </w:rPr>
        <w:t xml:space="preserve"> </w:t>
      </w:r>
      <w:r w:rsidR="00D27A42" w:rsidRPr="00797B96">
        <w:rPr>
          <w:sz w:val="28"/>
          <w:szCs w:val="28"/>
          <w:lang w:eastAsia="en-US"/>
        </w:rPr>
        <w:t xml:space="preserve">выбывшие </w:t>
      </w:r>
      <w:r w:rsidRPr="00797B96">
        <w:rPr>
          <w:sz w:val="28"/>
          <w:szCs w:val="28"/>
          <w:lang w:eastAsia="en-US"/>
        </w:rPr>
        <w:t xml:space="preserve">граждане указывали причину </w:t>
      </w:r>
      <w:r w:rsidR="00797B96" w:rsidRPr="00797B96">
        <w:rPr>
          <w:sz w:val="28"/>
          <w:szCs w:val="28"/>
          <w:lang w:eastAsia="en-US"/>
        </w:rPr>
        <w:t xml:space="preserve">личного, семейного характера (в 2021 </w:t>
      </w:r>
      <w:r w:rsidR="00797B96" w:rsidRPr="00357F57">
        <w:rPr>
          <w:sz w:val="28"/>
          <w:szCs w:val="28"/>
          <w:lang w:eastAsia="en-US"/>
        </w:rPr>
        <w:t xml:space="preserve">году – 35,2% числа выбывших граждан в возрасте от 14 лет и старше), возвращения после временного отсутствия – 23,5% от числа выбывших граждан в возрасте от 14 лет и старше. </w:t>
      </w:r>
      <w:r w:rsidR="007F2711" w:rsidRPr="00357F57">
        <w:rPr>
          <w:sz w:val="28"/>
          <w:szCs w:val="28"/>
          <w:lang w:eastAsia="en-US"/>
        </w:rPr>
        <w:t>При этом</w:t>
      </w:r>
      <w:r w:rsidR="00100D23" w:rsidRPr="00357F57">
        <w:rPr>
          <w:sz w:val="28"/>
          <w:szCs w:val="28"/>
          <w:lang w:eastAsia="en-US"/>
        </w:rPr>
        <w:t>,</w:t>
      </w:r>
      <w:r w:rsidR="007F2711" w:rsidRPr="00357F57">
        <w:rPr>
          <w:sz w:val="28"/>
          <w:szCs w:val="28"/>
          <w:lang w:eastAsia="en-US"/>
        </w:rPr>
        <w:t xml:space="preserve"> в связи с работой </w:t>
      </w:r>
      <w:r w:rsidR="00357F57" w:rsidRPr="00357F57">
        <w:rPr>
          <w:sz w:val="28"/>
          <w:szCs w:val="28"/>
          <w:lang w:eastAsia="en-US"/>
        </w:rPr>
        <w:t>в 2021</w:t>
      </w:r>
      <w:r w:rsidR="00797B96" w:rsidRPr="00357F57">
        <w:rPr>
          <w:sz w:val="28"/>
          <w:szCs w:val="28"/>
          <w:lang w:eastAsia="en-US"/>
        </w:rPr>
        <w:t xml:space="preserve"> году </w:t>
      </w:r>
      <w:r w:rsidR="007F2711" w:rsidRPr="00357F57">
        <w:rPr>
          <w:sz w:val="28"/>
          <w:szCs w:val="28"/>
          <w:lang w:eastAsia="en-US"/>
        </w:rPr>
        <w:t>зафиксирован прирост (</w:t>
      </w:r>
      <w:r w:rsidR="00A0447D" w:rsidRPr="00357F57">
        <w:rPr>
          <w:sz w:val="28"/>
          <w:szCs w:val="28"/>
          <w:lang w:eastAsia="en-US"/>
        </w:rPr>
        <w:t>1</w:t>
      </w:r>
      <w:r w:rsidR="00F835C9" w:rsidRPr="00357F57">
        <w:rPr>
          <w:sz w:val="28"/>
          <w:szCs w:val="28"/>
          <w:lang w:eastAsia="en-US"/>
        </w:rPr>
        <w:t>,</w:t>
      </w:r>
      <w:r w:rsidR="00A0447D" w:rsidRPr="00357F57">
        <w:rPr>
          <w:sz w:val="28"/>
          <w:szCs w:val="28"/>
          <w:lang w:eastAsia="en-US"/>
        </w:rPr>
        <w:t>2</w:t>
      </w:r>
      <w:r w:rsidR="00F835C9" w:rsidRPr="00357F57">
        <w:rPr>
          <w:sz w:val="28"/>
          <w:szCs w:val="28"/>
          <w:lang w:eastAsia="en-US"/>
        </w:rPr>
        <w:t xml:space="preserve"> тыс. человек</w:t>
      </w:r>
      <w:r w:rsidR="007F2711" w:rsidRPr="00357F57">
        <w:rPr>
          <w:sz w:val="28"/>
          <w:szCs w:val="28"/>
          <w:lang w:eastAsia="en-US"/>
        </w:rPr>
        <w:t xml:space="preserve">), в связи с учебой </w:t>
      </w:r>
      <w:r w:rsidR="00047010" w:rsidRPr="00357F57">
        <w:rPr>
          <w:sz w:val="28"/>
          <w:szCs w:val="28"/>
          <w:lang w:eastAsia="en-US"/>
        </w:rPr>
        <w:t xml:space="preserve">– миграционная убыль не </w:t>
      </w:r>
      <w:r w:rsidR="00A0447D" w:rsidRPr="00357F57">
        <w:rPr>
          <w:sz w:val="28"/>
          <w:szCs w:val="28"/>
          <w:lang w:eastAsia="en-US"/>
        </w:rPr>
        <w:t xml:space="preserve">столь </w:t>
      </w:r>
      <w:r w:rsidR="00047010" w:rsidRPr="00357F57">
        <w:rPr>
          <w:sz w:val="28"/>
          <w:szCs w:val="28"/>
          <w:lang w:eastAsia="en-US"/>
        </w:rPr>
        <w:t xml:space="preserve">значительна и составила </w:t>
      </w:r>
      <w:r w:rsidR="00F835C9" w:rsidRPr="00357F57">
        <w:rPr>
          <w:sz w:val="28"/>
          <w:szCs w:val="28"/>
          <w:lang w:eastAsia="en-US"/>
        </w:rPr>
        <w:t>0,</w:t>
      </w:r>
      <w:r w:rsidR="00357F57" w:rsidRPr="00357F57">
        <w:rPr>
          <w:sz w:val="28"/>
          <w:szCs w:val="28"/>
          <w:lang w:eastAsia="en-US"/>
        </w:rPr>
        <w:t>18</w:t>
      </w:r>
      <w:r w:rsidR="00A0447D" w:rsidRPr="00357F57">
        <w:rPr>
          <w:sz w:val="28"/>
          <w:szCs w:val="28"/>
          <w:lang w:eastAsia="en-US"/>
        </w:rPr>
        <w:t xml:space="preserve"> </w:t>
      </w:r>
      <w:r w:rsidR="00F835C9" w:rsidRPr="00357F57">
        <w:rPr>
          <w:sz w:val="28"/>
          <w:szCs w:val="28"/>
          <w:lang w:eastAsia="en-US"/>
        </w:rPr>
        <w:t xml:space="preserve">тыс. </w:t>
      </w:r>
      <w:r w:rsidR="00A0447D" w:rsidRPr="00357F57">
        <w:rPr>
          <w:sz w:val="28"/>
          <w:szCs w:val="28"/>
          <w:lang w:eastAsia="en-US"/>
        </w:rPr>
        <w:t>человек</w:t>
      </w:r>
      <w:r w:rsidR="00047010" w:rsidRPr="00357F57">
        <w:rPr>
          <w:sz w:val="28"/>
          <w:szCs w:val="28"/>
          <w:lang w:eastAsia="en-US"/>
        </w:rPr>
        <w:t>.</w:t>
      </w:r>
    </w:p>
    <w:p w:rsidR="00206BF5" w:rsidRPr="006970C6" w:rsidRDefault="006C2444" w:rsidP="000A65B2">
      <w:pPr>
        <w:widowControl w:val="0"/>
        <w:suppressAutoHyphens w:val="0"/>
        <w:spacing w:line="276" w:lineRule="auto"/>
        <w:rPr>
          <w:sz w:val="28"/>
          <w:szCs w:val="28"/>
          <w:lang w:eastAsia="en-US"/>
        </w:rPr>
      </w:pPr>
      <w:r w:rsidRPr="00357F57">
        <w:rPr>
          <w:sz w:val="28"/>
          <w:szCs w:val="28"/>
          <w:lang w:eastAsia="en-US"/>
        </w:rPr>
        <w:t>По направлению миграции граждан первое место занимает территория</w:t>
      </w:r>
      <w:r w:rsidRPr="00C531AB">
        <w:rPr>
          <w:sz w:val="28"/>
          <w:szCs w:val="28"/>
          <w:lang w:eastAsia="en-US"/>
        </w:rPr>
        <w:t xml:space="preserve"> Самарской </w:t>
      </w:r>
      <w:r w:rsidRPr="00C33A60">
        <w:rPr>
          <w:sz w:val="28"/>
          <w:szCs w:val="28"/>
          <w:lang w:eastAsia="en-US"/>
        </w:rPr>
        <w:t>области - миграционная убыль по данной территории составил -2503 человека, на втором месте международная миграция (-1460 человек) и на третьем - межрегиональная (-994 человека</w:t>
      </w:r>
      <w:r w:rsidRPr="00EC4FCB">
        <w:rPr>
          <w:sz w:val="28"/>
          <w:szCs w:val="28"/>
          <w:lang w:eastAsia="en-US"/>
        </w:rPr>
        <w:t xml:space="preserve">). Одновременно с этим наблюдается прирост численности населения Ставропольского </w:t>
      </w:r>
      <w:r w:rsidRPr="00E54D1F">
        <w:rPr>
          <w:sz w:val="28"/>
          <w:szCs w:val="28"/>
          <w:lang w:eastAsia="en-US"/>
        </w:rPr>
        <w:t xml:space="preserve">муниципального района, граничащего с территорией городского округа Тольятти. Всего с 2010 года, благодаря массовой застройке жилыми массивами, </w:t>
      </w:r>
      <w:r w:rsidRPr="00904CBE">
        <w:rPr>
          <w:sz w:val="28"/>
          <w:szCs w:val="28"/>
          <w:lang w:eastAsia="en-US"/>
        </w:rPr>
        <w:t>численность населения Ставропольского района увеличилась на 2</w:t>
      </w:r>
      <w:r w:rsidR="00500A9C">
        <w:rPr>
          <w:sz w:val="28"/>
          <w:szCs w:val="28"/>
          <w:lang w:eastAsia="en-US"/>
        </w:rPr>
        <w:t>7</w:t>
      </w:r>
      <w:r w:rsidRPr="00904CBE">
        <w:rPr>
          <w:sz w:val="28"/>
          <w:szCs w:val="28"/>
          <w:lang w:eastAsia="en-US"/>
        </w:rPr>
        <w:t>,</w:t>
      </w:r>
      <w:r w:rsidR="00500A9C">
        <w:rPr>
          <w:sz w:val="28"/>
          <w:szCs w:val="28"/>
          <w:lang w:eastAsia="en-US"/>
        </w:rPr>
        <w:t>4</w:t>
      </w:r>
      <w:r w:rsidRPr="00593B0F">
        <w:rPr>
          <w:sz w:val="28"/>
          <w:szCs w:val="28"/>
          <w:lang w:eastAsia="en-US"/>
        </w:rPr>
        <w:t> тыс. человек, в 2021 году составила 8</w:t>
      </w:r>
      <w:r w:rsidR="00500A9C">
        <w:rPr>
          <w:sz w:val="28"/>
          <w:szCs w:val="28"/>
          <w:lang w:eastAsia="en-US"/>
        </w:rPr>
        <w:t>1</w:t>
      </w:r>
      <w:r w:rsidRPr="00593B0F">
        <w:rPr>
          <w:sz w:val="28"/>
          <w:szCs w:val="28"/>
          <w:lang w:eastAsia="en-US"/>
        </w:rPr>
        <w:t>,</w:t>
      </w:r>
      <w:r w:rsidR="00500A9C">
        <w:rPr>
          <w:sz w:val="28"/>
          <w:szCs w:val="28"/>
          <w:lang w:eastAsia="en-US"/>
        </w:rPr>
        <w:t>9</w:t>
      </w:r>
      <w:r w:rsidRPr="00593B0F">
        <w:rPr>
          <w:sz w:val="28"/>
          <w:szCs w:val="28"/>
          <w:lang w:eastAsia="en-US"/>
        </w:rPr>
        <w:t xml:space="preserve"> тыс. человек. Миграционный прирост района ежегодно составляет более </w:t>
      </w:r>
      <w:r w:rsidR="00500A9C">
        <w:rPr>
          <w:sz w:val="28"/>
          <w:szCs w:val="28"/>
          <w:lang w:eastAsia="en-US"/>
        </w:rPr>
        <w:t>2</w:t>
      </w:r>
      <w:r w:rsidRPr="00593B0F">
        <w:rPr>
          <w:sz w:val="28"/>
          <w:szCs w:val="28"/>
          <w:lang w:eastAsia="en-US"/>
        </w:rPr>
        <w:t>-3</w:t>
      </w:r>
      <w:r w:rsidR="00500A9C">
        <w:rPr>
          <w:sz w:val="28"/>
          <w:szCs w:val="28"/>
          <w:lang w:eastAsia="en-US"/>
        </w:rPr>
        <w:t xml:space="preserve"> </w:t>
      </w:r>
      <w:r w:rsidRPr="00593B0F">
        <w:rPr>
          <w:sz w:val="28"/>
          <w:szCs w:val="28"/>
          <w:lang w:eastAsia="en-US"/>
        </w:rPr>
        <w:t xml:space="preserve"> тыс. человек, </w:t>
      </w:r>
      <w:r w:rsidR="00206BF5" w:rsidRPr="006970C6">
        <w:rPr>
          <w:sz w:val="28"/>
          <w:szCs w:val="28"/>
          <w:lang w:eastAsia="en-US"/>
        </w:rPr>
        <w:t>а обеспеченность жильем - более 40 метров на человека. Среди городов и районов области это первое место.</w:t>
      </w:r>
    </w:p>
    <w:p w:rsidR="005773C2" w:rsidRPr="00593B0F" w:rsidRDefault="005773C2" w:rsidP="005773C2">
      <w:pPr>
        <w:widowControl w:val="0"/>
        <w:numPr>
          <w:ilvl w:val="0"/>
          <w:numId w:val="5"/>
        </w:numPr>
        <w:suppressAutoHyphens w:val="0"/>
        <w:spacing w:line="276" w:lineRule="auto"/>
        <w:ind w:left="0" w:firstLine="709"/>
        <w:contextualSpacing/>
        <w:rPr>
          <w:sz w:val="28"/>
          <w:szCs w:val="28"/>
          <w:lang w:eastAsia="en-US"/>
        </w:rPr>
      </w:pPr>
      <w:r w:rsidRPr="0094586C">
        <w:rPr>
          <w:sz w:val="28"/>
          <w:szCs w:val="28"/>
          <w:lang w:eastAsia="en-US"/>
        </w:rPr>
        <w:t xml:space="preserve">Есть все основания полагать, что данная тенденция сложилась, в основном за счёт жителей городского округа Тольятти, которые выбирают в качестве постоянного места жительства приграничные с городом сельские населенные пункты - Приморский, Подстепки, Ягодное, Тимофеевку. По данным Самарастата только за пятилетний период 2017-2021 годов миграционная убыль </w:t>
      </w:r>
      <w:r w:rsidRPr="00593B0F">
        <w:rPr>
          <w:sz w:val="28"/>
          <w:szCs w:val="28"/>
          <w:lang w:eastAsia="en-US"/>
        </w:rPr>
        <w:t>городского округа Тольятти с территорией района за пять лет составила 14,3 тыс. человек, в том числе в 2021 году – 5,4 тыс. человек (сопоставимо с приростом Ставропольского района в 2021 году).</w:t>
      </w:r>
    </w:p>
    <w:p w:rsidR="0057664A" w:rsidRPr="005773C2" w:rsidRDefault="0057664A" w:rsidP="000A65B2">
      <w:pPr>
        <w:widowControl w:val="0"/>
        <w:numPr>
          <w:ilvl w:val="0"/>
          <w:numId w:val="5"/>
        </w:numPr>
        <w:suppressAutoHyphens w:val="0"/>
        <w:spacing w:line="276" w:lineRule="auto"/>
        <w:ind w:left="0" w:firstLine="709"/>
        <w:contextualSpacing/>
        <w:rPr>
          <w:sz w:val="28"/>
          <w:szCs w:val="28"/>
          <w:lang w:eastAsia="en-US"/>
        </w:rPr>
      </w:pPr>
      <w:r w:rsidRPr="005773C2">
        <w:rPr>
          <w:sz w:val="28"/>
          <w:szCs w:val="28"/>
          <w:lang w:eastAsia="en-US"/>
        </w:rPr>
        <w:t xml:space="preserve">При этом, население проживающее на близлежащих территориях, продолжает работать в </w:t>
      </w:r>
      <w:r w:rsidR="00100D23" w:rsidRPr="005773C2">
        <w:rPr>
          <w:sz w:val="28"/>
          <w:szCs w:val="28"/>
          <w:lang w:eastAsia="en-US"/>
        </w:rPr>
        <w:t xml:space="preserve">городском округе </w:t>
      </w:r>
      <w:r w:rsidRPr="005773C2">
        <w:rPr>
          <w:sz w:val="28"/>
          <w:szCs w:val="28"/>
          <w:lang w:eastAsia="en-US"/>
        </w:rPr>
        <w:t>Тольятти и активно пользоваться его инфраструктурой.</w:t>
      </w:r>
    </w:p>
    <w:p w:rsidR="0057664A" w:rsidRPr="005773C2" w:rsidRDefault="005C523D" w:rsidP="000A65B2">
      <w:pPr>
        <w:widowControl w:val="0"/>
        <w:suppressAutoHyphens w:val="0"/>
        <w:spacing w:line="276" w:lineRule="auto"/>
        <w:rPr>
          <w:sz w:val="28"/>
          <w:szCs w:val="28"/>
          <w:lang w:eastAsia="en-US"/>
        </w:rPr>
      </w:pPr>
      <w:r w:rsidRPr="005773C2">
        <w:rPr>
          <w:sz w:val="28"/>
          <w:szCs w:val="28"/>
          <w:lang w:eastAsia="en-US"/>
        </w:rPr>
        <w:t xml:space="preserve">В текущем году в городском округе Тольятти, как и по Самарской области </w:t>
      </w:r>
      <w:r w:rsidR="00100D23" w:rsidRPr="005773C2">
        <w:rPr>
          <w:sz w:val="28"/>
          <w:szCs w:val="28"/>
          <w:lang w:eastAsia="en-US"/>
        </w:rPr>
        <w:t xml:space="preserve">в целом, </w:t>
      </w:r>
      <w:r w:rsidRPr="005773C2">
        <w:rPr>
          <w:sz w:val="28"/>
          <w:szCs w:val="28"/>
          <w:lang w:eastAsia="en-US"/>
        </w:rPr>
        <w:t>численность постоянного населения</w:t>
      </w:r>
      <w:r w:rsidR="0057664A" w:rsidRPr="005773C2">
        <w:rPr>
          <w:sz w:val="28"/>
          <w:szCs w:val="28"/>
          <w:lang w:eastAsia="en-US"/>
        </w:rPr>
        <w:t xml:space="preserve"> продолжает снижаться</w:t>
      </w:r>
      <w:r w:rsidRPr="005773C2">
        <w:rPr>
          <w:sz w:val="28"/>
          <w:szCs w:val="28"/>
          <w:lang w:eastAsia="en-US"/>
        </w:rPr>
        <w:t xml:space="preserve">. </w:t>
      </w:r>
    </w:p>
    <w:p w:rsidR="00F81B58" w:rsidRDefault="00F81B58" w:rsidP="00F81B58">
      <w:pPr>
        <w:tabs>
          <w:tab w:val="left" w:pos="8306"/>
        </w:tabs>
        <w:suppressAutoHyphens w:val="0"/>
        <w:snapToGrid w:val="0"/>
        <w:spacing w:line="276" w:lineRule="auto"/>
        <w:textAlignment w:val="top"/>
        <w:rPr>
          <w:rFonts w:eastAsia="Calibri"/>
          <w:bCs/>
          <w:sz w:val="28"/>
          <w:szCs w:val="28"/>
          <w:lang w:eastAsia="en-US"/>
        </w:rPr>
      </w:pPr>
      <w:r w:rsidRPr="005773C2">
        <w:rPr>
          <w:rFonts w:eastAsia="Calibri"/>
          <w:bCs/>
          <w:sz w:val="28"/>
          <w:szCs w:val="28"/>
          <w:lang w:eastAsia="en-US"/>
        </w:rPr>
        <w:t>По состоянию на 01.07.2022 численность постоянного населения</w:t>
      </w:r>
      <w:r w:rsidRPr="00B7441D">
        <w:rPr>
          <w:rFonts w:eastAsia="Calibri"/>
          <w:bCs/>
          <w:sz w:val="28"/>
          <w:szCs w:val="28"/>
          <w:lang w:eastAsia="en-US"/>
        </w:rPr>
        <w:t xml:space="preserve"> составила 681,5 тыс. человек. В городском округе Тольятти в текущем году наблюдается снижение количества родившихся - на 14,2% по сравнению с аналогичным периодом 2021 года до 2,3</w:t>
      </w:r>
      <w:r>
        <w:rPr>
          <w:rFonts w:eastAsia="Calibri"/>
          <w:bCs/>
          <w:sz w:val="28"/>
          <w:szCs w:val="28"/>
          <w:lang w:eastAsia="en-US"/>
        </w:rPr>
        <w:t xml:space="preserve"> тыс. человек.</w:t>
      </w:r>
    </w:p>
    <w:p w:rsidR="00F81B58" w:rsidRPr="00B7441D" w:rsidRDefault="00F81B58" w:rsidP="00F81B58">
      <w:pPr>
        <w:tabs>
          <w:tab w:val="left" w:pos="8306"/>
        </w:tabs>
        <w:suppressAutoHyphens w:val="0"/>
        <w:snapToGrid w:val="0"/>
        <w:spacing w:line="276" w:lineRule="auto"/>
        <w:textAlignment w:val="top"/>
        <w:rPr>
          <w:rFonts w:eastAsia="Calibri"/>
          <w:bCs/>
          <w:sz w:val="28"/>
          <w:szCs w:val="28"/>
          <w:lang w:eastAsia="en-US"/>
        </w:rPr>
      </w:pPr>
      <w:r w:rsidRPr="00B7441D">
        <w:rPr>
          <w:rFonts w:eastAsia="Calibri"/>
          <w:bCs/>
          <w:sz w:val="28"/>
          <w:szCs w:val="28"/>
          <w:lang w:eastAsia="en-US"/>
        </w:rPr>
        <w:t>Коэффициент рождаемости составил 6,8 промилле против 7,9 промилле за январь-июнь 2021 года.</w:t>
      </w:r>
    </w:p>
    <w:p w:rsidR="00F81B58" w:rsidRPr="00890AA8" w:rsidRDefault="00F81B58" w:rsidP="00F81B58">
      <w:pPr>
        <w:tabs>
          <w:tab w:val="left" w:pos="8306"/>
        </w:tabs>
        <w:suppressAutoHyphens w:val="0"/>
        <w:snapToGrid w:val="0"/>
        <w:spacing w:line="276" w:lineRule="auto"/>
        <w:textAlignment w:val="top"/>
        <w:rPr>
          <w:rFonts w:eastAsia="Calibri"/>
          <w:bCs/>
          <w:sz w:val="28"/>
          <w:szCs w:val="28"/>
          <w:highlight w:val="yellow"/>
          <w:lang w:eastAsia="en-US"/>
        </w:rPr>
      </w:pPr>
      <w:r w:rsidRPr="00B7441D">
        <w:rPr>
          <w:rFonts w:eastAsia="Calibri"/>
          <w:bCs/>
          <w:sz w:val="28"/>
          <w:szCs w:val="28"/>
          <w:lang w:eastAsia="en-US"/>
        </w:rPr>
        <w:t>Количество умерших также сократилось на 7,1% и составило 4,6 тыс. человек, коэффициент смертности – 13,7 промилле (в январе–июне 2021 года – 14,5 промилле).</w:t>
      </w:r>
      <w:r w:rsidRPr="00890AA8">
        <w:rPr>
          <w:rFonts w:eastAsia="Calibri"/>
          <w:bCs/>
          <w:sz w:val="28"/>
          <w:szCs w:val="28"/>
          <w:highlight w:val="yellow"/>
          <w:lang w:eastAsia="en-US"/>
        </w:rPr>
        <w:t xml:space="preserve"> </w:t>
      </w:r>
    </w:p>
    <w:p w:rsidR="00F81B58" w:rsidRPr="00890AA8" w:rsidRDefault="00F81B58" w:rsidP="00F81B58">
      <w:pPr>
        <w:tabs>
          <w:tab w:val="left" w:pos="8306"/>
        </w:tabs>
        <w:suppressAutoHyphens w:val="0"/>
        <w:snapToGrid w:val="0"/>
        <w:spacing w:line="276" w:lineRule="auto"/>
        <w:textAlignment w:val="top"/>
        <w:rPr>
          <w:rFonts w:eastAsia="Calibri"/>
          <w:bCs/>
          <w:sz w:val="28"/>
          <w:szCs w:val="28"/>
          <w:highlight w:val="yellow"/>
          <w:lang w:eastAsia="en-US"/>
        </w:rPr>
      </w:pPr>
      <w:r w:rsidRPr="00E052FE">
        <w:rPr>
          <w:rFonts w:eastAsia="Calibri"/>
          <w:bCs/>
          <w:sz w:val="28"/>
          <w:szCs w:val="28"/>
          <w:lang w:eastAsia="en-US"/>
        </w:rPr>
        <w:t>В результате снижения рождаемости естественная убыль населения увеличилась на 1</w:t>
      </w:r>
      <w:r w:rsidRPr="00B06576">
        <w:rPr>
          <w:rFonts w:eastAsia="Calibri"/>
          <w:bCs/>
          <w:sz w:val="28"/>
          <w:szCs w:val="28"/>
          <w:lang w:eastAsia="en-US"/>
        </w:rPr>
        <w:t>,3% и составила 2,3 тыс. человек. Общий коэффициент естественной убыли зафиксирован на уровне -6,9 промилле (за 6 месяцев предыдущего года -6,6 промилле).</w:t>
      </w:r>
    </w:p>
    <w:p w:rsidR="00F81B58" w:rsidRDefault="00F81B58" w:rsidP="00F81B58">
      <w:pPr>
        <w:tabs>
          <w:tab w:val="left" w:pos="8306"/>
        </w:tabs>
        <w:suppressAutoHyphens w:val="0"/>
        <w:snapToGrid w:val="0"/>
        <w:spacing w:line="276" w:lineRule="auto"/>
        <w:textAlignment w:val="top"/>
        <w:rPr>
          <w:bCs/>
          <w:spacing w:val="2"/>
          <w:sz w:val="28"/>
          <w:szCs w:val="28"/>
          <w:lang w:eastAsia="ar-SA"/>
        </w:rPr>
      </w:pPr>
      <w:r w:rsidRPr="00A3045D">
        <w:rPr>
          <w:bCs/>
          <w:spacing w:val="2"/>
          <w:sz w:val="28"/>
          <w:szCs w:val="28"/>
          <w:lang w:eastAsia="ar-SA"/>
        </w:rPr>
        <w:t xml:space="preserve">При этом, в рейтинге городских округов Самарской области по естественной убыли в расчете на 1000 населения Тольятти не является аутсайдером и занимает 3 место. </w:t>
      </w:r>
    </w:p>
    <w:p w:rsidR="00F81B58" w:rsidRDefault="00F81B58" w:rsidP="00F81B58">
      <w:pPr>
        <w:tabs>
          <w:tab w:val="left" w:pos="8306"/>
        </w:tabs>
        <w:suppressAutoHyphens w:val="0"/>
        <w:snapToGrid w:val="0"/>
        <w:spacing w:line="276" w:lineRule="auto"/>
        <w:textAlignment w:val="top"/>
        <w:rPr>
          <w:rFonts w:eastAsia="Calibri"/>
          <w:bCs/>
          <w:sz w:val="28"/>
          <w:szCs w:val="28"/>
          <w:lang w:eastAsia="en-US"/>
        </w:rPr>
      </w:pPr>
      <w:r w:rsidRPr="00413AC8">
        <w:rPr>
          <w:rFonts w:eastAsia="Calibri"/>
          <w:bCs/>
          <w:sz w:val="28"/>
          <w:szCs w:val="28"/>
          <w:lang w:eastAsia="en-US"/>
        </w:rPr>
        <w:t>Миграционный отток населения увеличился относительно аналогичного периода предыдущего года в 1,6 раза и составил -1,8 тыс. человек.</w:t>
      </w:r>
    </w:p>
    <w:p w:rsidR="00F81B58" w:rsidRPr="00455DAE" w:rsidRDefault="00F81B58" w:rsidP="00F81B58">
      <w:pPr>
        <w:spacing w:line="276" w:lineRule="auto"/>
        <w:rPr>
          <w:sz w:val="28"/>
          <w:szCs w:val="28"/>
        </w:rPr>
      </w:pPr>
      <w:r w:rsidRPr="008B2BCF">
        <w:rPr>
          <w:sz w:val="28"/>
          <w:szCs w:val="28"/>
        </w:rPr>
        <w:t>Общая характеристика воспроизводства населения городского округа Тольятти приведена в таблице: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992"/>
        <w:gridCol w:w="1134"/>
        <w:gridCol w:w="1560"/>
        <w:gridCol w:w="992"/>
        <w:gridCol w:w="1134"/>
        <w:gridCol w:w="1134"/>
      </w:tblGrid>
      <w:tr w:rsidR="00F81B58" w:rsidRPr="001E4DE4" w:rsidTr="005E6568">
        <w:trPr>
          <w:cantSplit/>
          <w:trHeight w:val="802"/>
          <w:tblHeader/>
        </w:trPr>
        <w:tc>
          <w:tcPr>
            <w:tcW w:w="2410" w:type="dxa"/>
            <w:vMerge w:val="restart"/>
            <w:tcBorders>
              <w:top w:val="single" w:sz="4" w:space="0" w:color="auto"/>
              <w:right w:val="single" w:sz="4" w:space="0" w:color="auto"/>
            </w:tcBorders>
            <w:vAlign w:val="center"/>
          </w:tcPr>
          <w:p w:rsidR="00F81B58" w:rsidRPr="001E4DE4" w:rsidRDefault="00F81B58" w:rsidP="002F56E9">
            <w:pPr>
              <w:keepNext/>
              <w:keepLines/>
              <w:widowControl w:val="0"/>
              <w:ind w:hanging="108"/>
              <w:jc w:val="center"/>
              <w:rPr>
                <w:bCs/>
                <w:sz w:val="28"/>
                <w:szCs w:val="28"/>
              </w:rPr>
            </w:pPr>
            <w:r w:rsidRPr="001E4DE4">
              <w:rPr>
                <w:bCs/>
                <w:sz w:val="28"/>
                <w:szCs w:val="28"/>
              </w:rPr>
              <w:t>Показатель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1B58" w:rsidRPr="001E4DE4" w:rsidRDefault="00F81B58" w:rsidP="002F56E9">
            <w:pPr>
              <w:keepNext/>
              <w:keepLines/>
              <w:widowControl w:val="0"/>
              <w:ind w:firstLine="0"/>
              <w:jc w:val="center"/>
              <w:rPr>
                <w:bCs/>
                <w:sz w:val="28"/>
                <w:szCs w:val="28"/>
              </w:rPr>
            </w:pPr>
            <w:r w:rsidRPr="001E4DE4">
              <w:rPr>
                <w:bCs/>
                <w:sz w:val="28"/>
                <w:szCs w:val="28"/>
              </w:rPr>
              <w:t>Январь-июнь, чел.</w:t>
            </w:r>
          </w:p>
        </w:tc>
        <w:tc>
          <w:tcPr>
            <w:tcW w:w="1560" w:type="dxa"/>
            <w:vMerge w:val="restart"/>
            <w:tcBorders>
              <w:top w:val="single" w:sz="4" w:space="0" w:color="auto"/>
              <w:left w:val="single" w:sz="4" w:space="0" w:color="auto"/>
              <w:right w:val="single" w:sz="4" w:space="0" w:color="auto"/>
            </w:tcBorders>
            <w:vAlign w:val="center"/>
          </w:tcPr>
          <w:p w:rsidR="00F81B58" w:rsidRPr="001E4DE4" w:rsidRDefault="00F81B58" w:rsidP="002F56E9">
            <w:pPr>
              <w:keepNext/>
              <w:keepLines/>
              <w:widowControl w:val="0"/>
              <w:ind w:firstLine="0"/>
              <w:jc w:val="center"/>
              <w:rPr>
                <w:bCs/>
                <w:sz w:val="28"/>
                <w:szCs w:val="28"/>
              </w:rPr>
            </w:pPr>
            <w:r w:rsidRPr="001E4DE4">
              <w:rPr>
                <w:bCs/>
                <w:sz w:val="28"/>
                <w:szCs w:val="28"/>
              </w:rPr>
              <w:t>Прирост (+), снижение</w:t>
            </w:r>
          </w:p>
          <w:p w:rsidR="00F81B58" w:rsidRPr="001E4DE4" w:rsidRDefault="00F81B58" w:rsidP="002F56E9">
            <w:pPr>
              <w:keepNext/>
              <w:keepLines/>
              <w:widowControl w:val="0"/>
              <w:ind w:firstLine="0"/>
              <w:jc w:val="center"/>
              <w:rPr>
                <w:b/>
                <w:bCs/>
                <w:sz w:val="28"/>
                <w:szCs w:val="28"/>
              </w:rPr>
            </w:pPr>
            <w:r w:rsidRPr="001E4DE4">
              <w:rPr>
                <w:bCs/>
                <w:sz w:val="28"/>
                <w:szCs w:val="28"/>
              </w:rPr>
              <w:t>(-),</w:t>
            </w:r>
            <w:r w:rsidR="001E4DE4">
              <w:rPr>
                <w:bCs/>
                <w:sz w:val="28"/>
                <w:szCs w:val="28"/>
              </w:rPr>
              <w:t xml:space="preserve"> </w:t>
            </w:r>
            <w:r w:rsidRPr="001E4DE4">
              <w:rPr>
                <w:bCs/>
                <w:sz w:val="28"/>
                <w:szCs w:val="28"/>
              </w:rPr>
              <w:t>чел.</w:t>
            </w:r>
          </w:p>
        </w:tc>
        <w:tc>
          <w:tcPr>
            <w:tcW w:w="992" w:type="dxa"/>
            <w:vMerge w:val="restart"/>
            <w:tcBorders>
              <w:top w:val="single" w:sz="4" w:space="0" w:color="auto"/>
              <w:left w:val="single" w:sz="4" w:space="0" w:color="auto"/>
              <w:right w:val="single" w:sz="4" w:space="0" w:color="auto"/>
            </w:tcBorders>
            <w:vAlign w:val="center"/>
          </w:tcPr>
          <w:p w:rsidR="00F81B58" w:rsidRPr="001E4DE4" w:rsidRDefault="00F81B58" w:rsidP="002F56E9">
            <w:pPr>
              <w:keepNext/>
              <w:keepLines/>
              <w:widowControl w:val="0"/>
              <w:ind w:firstLine="0"/>
              <w:jc w:val="center"/>
              <w:rPr>
                <w:bCs/>
                <w:sz w:val="28"/>
                <w:szCs w:val="28"/>
              </w:rPr>
            </w:pPr>
            <w:r w:rsidRPr="001E4DE4">
              <w:rPr>
                <w:bCs/>
                <w:sz w:val="28"/>
                <w:szCs w:val="28"/>
              </w:rPr>
              <w:t>Темп роста, %</w:t>
            </w:r>
          </w:p>
        </w:tc>
        <w:tc>
          <w:tcPr>
            <w:tcW w:w="2268" w:type="dxa"/>
            <w:gridSpan w:val="2"/>
            <w:tcBorders>
              <w:top w:val="single" w:sz="4" w:space="0" w:color="auto"/>
              <w:left w:val="single" w:sz="4" w:space="0" w:color="auto"/>
              <w:bottom w:val="single" w:sz="4" w:space="0" w:color="auto"/>
            </w:tcBorders>
            <w:vAlign w:val="center"/>
          </w:tcPr>
          <w:p w:rsidR="00F81B58" w:rsidRPr="001E4DE4" w:rsidRDefault="00F81B58" w:rsidP="005E6568">
            <w:pPr>
              <w:keepNext/>
              <w:keepLines/>
              <w:widowControl w:val="0"/>
              <w:ind w:firstLine="0"/>
              <w:jc w:val="center"/>
              <w:rPr>
                <w:b/>
                <w:bCs/>
                <w:sz w:val="28"/>
                <w:szCs w:val="28"/>
              </w:rPr>
            </w:pPr>
            <w:r w:rsidRPr="001E4DE4">
              <w:rPr>
                <w:bCs/>
                <w:sz w:val="28"/>
                <w:szCs w:val="28"/>
              </w:rPr>
              <w:t>Январь</w:t>
            </w:r>
            <w:r w:rsidR="00685145" w:rsidRPr="001E4DE4">
              <w:rPr>
                <w:bCs/>
                <w:sz w:val="28"/>
                <w:szCs w:val="28"/>
              </w:rPr>
              <w:t>-июнь</w:t>
            </w:r>
            <w:r w:rsidRPr="001E4DE4">
              <w:rPr>
                <w:bCs/>
                <w:sz w:val="28"/>
                <w:szCs w:val="28"/>
              </w:rPr>
              <w:t xml:space="preserve"> на </w:t>
            </w:r>
            <w:r w:rsidRPr="001E4DE4">
              <w:rPr>
                <w:sz w:val="28"/>
                <w:szCs w:val="28"/>
              </w:rPr>
              <w:t xml:space="preserve">1000 человек </w:t>
            </w:r>
          </w:p>
        </w:tc>
      </w:tr>
      <w:tr w:rsidR="00F81B58" w:rsidRPr="001E4DE4" w:rsidTr="005E6568">
        <w:trPr>
          <w:cantSplit/>
          <w:tblHeader/>
        </w:trPr>
        <w:tc>
          <w:tcPr>
            <w:tcW w:w="2410" w:type="dxa"/>
            <w:vMerge/>
            <w:tcBorders>
              <w:bottom w:val="single" w:sz="4" w:space="0" w:color="auto"/>
              <w:right w:val="single" w:sz="4" w:space="0" w:color="auto"/>
            </w:tcBorders>
            <w:vAlign w:val="center"/>
          </w:tcPr>
          <w:p w:rsidR="00F81B58" w:rsidRPr="001E4DE4" w:rsidRDefault="00F81B58" w:rsidP="002F56E9">
            <w:pPr>
              <w:widowControl w:val="0"/>
              <w:jc w:val="center"/>
              <w:rP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81B58" w:rsidRPr="001E4DE4" w:rsidRDefault="00F81B58" w:rsidP="005E6568">
            <w:pPr>
              <w:widowControl w:val="0"/>
              <w:ind w:firstLine="0"/>
              <w:jc w:val="center"/>
              <w:rPr>
                <w:sz w:val="28"/>
                <w:szCs w:val="28"/>
              </w:rPr>
            </w:pPr>
            <w:r w:rsidRPr="001E4DE4">
              <w:rPr>
                <w:sz w:val="28"/>
                <w:szCs w:val="28"/>
              </w:rPr>
              <w:t xml:space="preserve">2021 </w:t>
            </w:r>
          </w:p>
        </w:tc>
        <w:tc>
          <w:tcPr>
            <w:tcW w:w="1134" w:type="dxa"/>
            <w:tcBorders>
              <w:top w:val="single" w:sz="4" w:space="0" w:color="auto"/>
              <w:left w:val="single" w:sz="4" w:space="0" w:color="auto"/>
              <w:bottom w:val="single" w:sz="4" w:space="0" w:color="auto"/>
              <w:right w:val="single" w:sz="4" w:space="0" w:color="auto"/>
            </w:tcBorders>
            <w:vAlign w:val="center"/>
          </w:tcPr>
          <w:p w:rsidR="00F81B58" w:rsidRPr="001E4DE4" w:rsidRDefault="00F81B58" w:rsidP="005E6568">
            <w:pPr>
              <w:widowControl w:val="0"/>
              <w:ind w:firstLine="0"/>
              <w:jc w:val="center"/>
              <w:rPr>
                <w:sz w:val="28"/>
                <w:szCs w:val="28"/>
              </w:rPr>
            </w:pPr>
            <w:r w:rsidRPr="001E4DE4">
              <w:rPr>
                <w:sz w:val="28"/>
                <w:szCs w:val="28"/>
              </w:rPr>
              <w:t xml:space="preserve">2022 </w:t>
            </w:r>
          </w:p>
        </w:tc>
        <w:tc>
          <w:tcPr>
            <w:tcW w:w="1560" w:type="dxa"/>
            <w:vMerge/>
            <w:tcBorders>
              <w:left w:val="single" w:sz="4" w:space="0" w:color="auto"/>
              <w:bottom w:val="single" w:sz="4" w:space="0" w:color="auto"/>
              <w:right w:val="single" w:sz="4" w:space="0" w:color="auto"/>
            </w:tcBorders>
            <w:vAlign w:val="center"/>
          </w:tcPr>
          <w:p w:rsidR="00F81B58" w:rsidRPr="001E4DE4" w:rsidRDefault="00F81B58" w:rsidP="002F56E9">
            <w:pPr>
              <w:widowControl w:val="0"/>
              <w:jc w:val="center"/>
              <w:rPr>
                <w:sz w:val="28"/>
                <w:szCs w:val="28"/>
                <w:highlight w:val="yellow"/>
              </w:rPr>
            </w:pPr>
          </w:p>
        </w:tc>
        <w:tc>
          <w:tcPr>
            <w:tcW w:w="992" w:type="dxa"/>
            <w:vMerge/>
            <w:tcBorders>
              <w:left w:val="single" w:sz="4" w:space="0" w:color="auto"/>
              <w:bottom w:val="single" w:sz="4" w:space="0" w:color="auto"/>
              <w:right w:val="single" w:sz="4" w:space="0" w:color="auto"/>
            </w:tcBorders>
            <w:vAlign w:val="center"/>
          </w:tcPr>
          <w:p w:rsidR="00F81B58" w:rsidRPr="001E4DE4" w:rsidRDefault="00F81B58" w:rsidP="002F56E9">
            <w:pPr>
              <w:widowControl w:val="0"/>
              <w:jc w:val="center"/>
              <w:rPr>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81B58" w:rsidRPr="001E4DE4" w:rsidRDefault="00F81B58" w:rsidP="005E6568">
            <w:pPr>
              <w:widowControl w:val="0"/>
              <w:ind w:firstLine="0"/>
              <w:jc w:val="center"/>
              <w:rPr>
                <w:sz w:val="28"/>
                <w:szCs w:val="28"/>
              </w:rPr>
            </w:pPr>
            <w:r w:rsidRPr="001E4DE4">
              <w:rPr>
                <w:sz w:val="28"/>
                <w:szCs w:val="28"/>
              </w:rPr>
              <w:t>2021</w:t>
            </w:r>
          </w:p>
        </w:tc>
        <w:tc>
          <w:tcPr>
            <w:tcW w:w="1134" w:type="dxa"/>
            <w:tcBorders>
              <w:top w:val="single" w:sz="4" w:space="0" w:color="auto"/>
              <w:left w:val="single" w:sz="4" w:space="0" w:color="auto"/>
              <w:bottom w:val="single" w:sz="4" w:space="0" w:color="auto"/>
            </w:tcBorders>
            <w:vAlign w:val="center"/>
          </w:tcPr>
          <w:p w:rsidR="00F81B58" w:rsidRPr="001E4DE4" w:rsidRDefault="00F81B58" w:rsidP="005E6568">
            <w:pPr>
              <w:widowControl w:val="0"/>
              <w:ind w:firstLine="0"/>
              <w:jc w:val="center"/>
              <w:rPr>
                <w:sz w:val="28"/>
                <w:szCs w:val="28"/>
              </w:rPr>
            </w:pPr>
            <w:r w:rsidRPr="001E4DE4">
              <w:rPr>
                <w:sz w:val="28"/>
                <w:szCs w:val="28"/>
              </w:rPr>
              <w:t xml:space="preserve">2022 </w:t>
            </w:r>
          </w:p>
        </w:tc>
      </w:tr>
      <w:tr w:rsidR="00F81B58" w:rsidRPr="001E4DE4" w:rsidTr="005E6568">
        <w:tc>
          <w:tcPr>
            <w:tcW w:w="2410" w:type="dxa"/>
            <w:tcBorders>
              <w:top w:val="single" w:sz="4" w:space="0" w:color="auto"/>
              <w:bottom w:val="single" w:sz="4" w:space="0" w:color="auto"/>
              <w:right w:val="single" w:sz="4" w:space="0" w:color="auto"/>
            </w:tcBorders>
            <w:vAlign w:val="center"/>
          </w:tcPr>
          <w:p w:rsidR="00F81B58" w:rsidRPr="001E4DE4" w:rsidRDefault="00F81B58" w:rsidP="002F56E9">
            <w:pPr>
              <w:widowControl w:val="0"/>
              <w:ind w:firstLine="0"/>
              <w:jc w:val="left"/>
              <w:rPr>
                <w:bCs/>
                <w:sz w:val="28"/>
                <w:szCs w:val="28"/>
              </w:rPr>
            </w:pPr>
            <w:r w:rsidRPr="001E4DE4">
              <w:rPr>
                <w:bCs/>
                <w:sz w:val="28"/>
                <w:szCs w:val="28"/>
              </w:rPr>
              <w:t>Родившихся</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2694</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2311</w:t>
            </w:r>
          </w:p>
        </w:tc>
        <w:tc>
          <w:tcPr>
            <w:tcW w:w="1560"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-383</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highlight w:val="yellow"/>
              </w:rPr>
            </w:pPr>
            <w:r w:rsidRPr="001E4DE4">
              <w:rPr>
                <w:sz w:val="28"/>
                <w:szCs w:val="28"/>
              </w:rPr>
              <w:t>85,8</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7,9</w:t>
            </w:r>
          </w:p>
        </w:tc>
        <w:tc>
          <w:tcPr>
            <w:tcW w:w="1134" w:type="dxa"/>
            <w:tcBorders>
              <w:top w:val="single" w:sz="4" w:space="0" w:color="auto"/>
              <w:left w:val="single" w:sz="4" w:space="0" w:color="auto"/>
              <w:bottom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6,8</w:t>
            </w:r>
          </w:p>
        </w:tc>
      </w:tr>
      <w:tr w:rsidR="00F81B58" w:rsidRPr="001E4DE4" w:rsidTr="005E6568">
        <w:trPr>
          <w:trHeight w:val="210"/>
        </w:trPr>
        <w:tc>
          <w:tcPr>
            <w:tcW w:w="2410" w:type="dxa"/>
            <w:tcBorders>
              <w:top w:val="single" w:sz="4" w:space="0" w:color="auto"/>
              <w:bottom w:val="single" w:sz="4" w:space="0" w:color="auto"/>
              <w:right w:val="single" w:sz="4" w:space="0" w:color="auto"/>
            </w:tcBorders>
            <w:vAlign w:val="center"/>
          </w:tcPr>
          <w:p w:rsidR="00F81B58" w:rsidRPr="001E4DE4" w:rsidRDefault="00F81B58" w:rsidP="002F56E9">
            <w:pPr>
              <w:widowControl w:val="0"/>
              <w:ind w:firstLine="0"/>
              <w:jc w:val="left"/>
              <w:rPr>
                <w:bCs/>
                <w:sz w:val="28"/>
                <w:szCs w:val="28"/>
              </w:rPr>
            </w:pPr>
            <w:r w:rsidRPr="001E4DE4">
              <w:rPr>
                <w:bCs/>
                <w:sz w:val="28"/>
                <w:szCs w:val="28"/>
              </w:rPr>
              <w:t>Умерших</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4991</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4638</w:t>
            </w:r>
          </w:p>
        </w:tc>
        <w:tc>
          <w:tcPr>
            <w:tcW w:w="1560"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-353</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highlight w:val="yellow"/>
              </w:rPr>
            </w:pPr>
            <w:r w:rsidRPr="001E4DE4">
              <w:rPr>
                <w:sz w:val="28"/>
                <w:szCs w:val="28"/>
              </w:rPr>
              <w:t>92,9</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14,5</w:t>
            </w:r>
          </w:p>
        </w:tc>
        <w:tc>
          <w:tcPr>
            <w:tcW w:w="1134" w:type="dxa"/>
            <w:tcBorders>
              <w:top w:val="single" w:sz="4" w:space="0" w:color="auto"/>
              <w:left w:val="single" w:sz="4" w:space="0" w:color="auto"/>
              <w:bottom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13,7</w:t>
            </w:r>
          </w:p>
        </w:tc>
      </w:tr>
      <w:tr w:rsidR="00F81B58" w:rsidRPr="001E4DE4" w:rsidTr="005E6568">
        <w:tc>
          <w:tcPr>
            <w:tcW w:w="2410" w:type="dxa"/>
            <w:tcBorders>
              <w:top w:val="single" w:sz="4" w:space="0" w:color="auto"/>
              <w:bottom w:val="single" w:sz="4" w:space="0" w:color="auto"/>
              <w:right w:val="single" w:sz="4" w:space="0" w:color="auto"/>
            </w:tcBorders>
            <w:vAlign w:val="center"/>
          </w:tcPr>
          <w:p w:rsidR="00F81B58" w:rsidRPr="001E4DE4" w:rsidRDefault="00F81B58" w:rsidP="002F56E9">
            <w:pPr>
              <w:widowControl w:val="0"/>
              <w:ind w:firstLine="0"/>
              <w:jc w:val="left"/>
              <w:rPr>
                <w:bCs/>
                <w:sz w:val="28"/>
                <w:szCs w:val="28"/>
              </w:rPr>
            </w:pPr>
            <w:r w:rsidRPr="001E4DE4">
              <w:rPr>
                <w:bCs/>
                <w:sz w:val="28"/>
                <w:szCs w:val="28"/>
              </w:rPr>
              <w:t>В том числе детей</w:t>
            </w:r>
          </w:p>
          <w:p w:rsidR="00F81B58" w:rsidRPr="001E4DE4" w:rsidRDefault="00F81B58" w:rsidP="002F56E9">
            <w:pPr>
              <w:widowControl w:val="0"/>
              <w:ind w:firstLine="0"/>
              <w:jc w:val="left"/>
              <w:rPr>
                <w:bCs/>
                <w:sz w:val="28"/>
                <w:szCs w:val="28"/>
              </w:rPr>
            </w:pPr>
            <w:r w:rsidRPr="001E4DE4">
              <w:rPr>
                <w:bCs/>
                <w:sz w:val="28"/>
                <w:szCs w:val="28"/>
              </w:rPr>
              <w:t>в возрасте до 1 года</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9</w:t>
            </w:r>
          </w:p>
        </w:tc>
        <w:tc>
          <w:tcPr>
            <w:tcW w:w="1560"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highlight w:val="yellow"/>
              </w:rPr>
            </w:pPr>
            <w:r w:rsidRPr="001E4DE4">
              <w:rPr>
                <w:sz w:val="28"/>
                <w:szCs w:val="28"/>
              </w:rPr>
              <w:t>56,3</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5,8*</w:t>
            </w:r>
          </w:p>
        </w:tc>
        <w:tc>
          <w:tcPr>
            <w:tcW w:w="1134" w:type="dxa"/>
            <w:tcBorders>
              <w:top w:val="single" w:sz="4" w:space="0" w:color="auto"/>
              <w:left w:val="single" w:sz="4" w:space="0" w:color="auto"/>
              <w:bottom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3,4*</w:t>
            </w:r>
          </w:p>
        </w:tc>
      </w:tr>
      <w:tr w:rsidR="00F81B58" w:rsidRPr="001E4DE4" w:rsidTr="005E6568">
        <w:tc>
          <w:tcPr>
            <w:tcW w:w="2410" w:type="dxa"/>
            <w:tcBorders>
              <w:top w:val="single" w:sz="4" w:space="0" w:color="auto"/>
              <w:bottom w:val="single" w:sz="4" w:space="0" w:color="auto"/>
              <w:right w:val="single" w:sz="4" w:space="0" w:color="auto"/>
            </w:tcBorders>
            <w:vAlign w:val="center"/>
          </w:tcPr>
          <w:p w:rsidR="00F81B58" w:rsidRPr="001E4DE4" w:rsidRDefault="00F81B58" w:rsidP="002F56E9">
            <w:pPr>
              <w:widowControl w:val="0"/>
              <w:ind w:firstLine="0"/>
              <w:jc w:val="left"/>
              <w:rPr>
                <w:bCs/>
                <w:sz w:val="28"/>
                <w:szCs w:val="28"/>
              </w:rPr>
            </w:pPr>
            <w:r w:rsidRPr="001E4DE4">
              <w:rPr>
                <w:bCs/>
                <w:sz w:val="28"/>
                <w:szCs w:val="28"/>
              </w:rPr>
              <w:t>Естественный прирост (убыль)</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-2297</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-2327</w:t>
            </w:r>
          </w:p>
        </w:tc>
        <w:tc>
          <w:tcPr>
            <w:tcW w:w="1560"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left="-108" w:firstLine="0"/>
              <w:jc w:val="center"/>
              <w:rPr>
                <w:sz w:val="28"/>
                <w:szCs w:val="28"/>
                <w:highlight w:val="yellow"/>
              </w:rPr>
            </w:pPr>
            <w:r w:rsidRPr="001E4DE4">
              <w:rPr>
                <w:sz w:val="28"/>
                <w:szCs w:val="28"/>
              </w:rPr>
              <w:t>101,3</w:t>
            </w:r>
          </w:p>
        </w:tc>
        <w:tc>
          <w:tcPr>
            <w:tcW w:w="1134" w:type="dxa"/>
            <w:tcBorders>
              <w:top w:val="single" w:sz="4" w:space="0" w:color="auto"/>
              <w:left w:val="single" w:sz="4" w:space="0" w:color="auto"/>
              <w:bottom w:val="single" w:sz="4" w:space="0" w:color="auto"/>
              <w:right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-6,6</w:t>
            </w:r>
          </w:p>
        </w:tc>
        <w:tc>
          <w:tcPr>
            <w:tcW w:w="1134" w:type="dxa"/>
            <w:tcBorders>
              <w:top w:val="single" w:sz="4" w:space="0" w:color="auto"/>
              <w:left w:val="single" w:sz="4" w:space="0" w:color="auto"/>
              <w:bottom w:val="single" w:sz="4" w:space="0" w:color="auto"/>
            </w:tcBorders>
            <w:vAlign w:val="bottom"/>
          </w:tcPr>
          <w:p w:rsidR="00F81B58" w:rsidRPr="001E4DE4" w:rsidRDefault="00F81B58" w:rsidP="002F56E9">
            <w:pPr>
              <w:widowControl w:val="0"/>
              <w:ind w:firstLine="0"/>
              <w:jc w:val="center"/>
              <w:rPr>
                <w:sz w:val="28"/>
                <w:szCs w:val="28"/>
              </w:rPr>
            </w:pPr>
            <w:r w:rsidRPr="001E4DE4">
              <w:rPr>
                <w:sz w:val="28"/>
                <w:szCs w:val="28"/>
              </w:rPr>
              <w:t>-6,9</w:t>
            </w:r>
          </w:p>
        </w:tc>
      </w:tr>
    </w:tbl>
    <w:p w:rsidR="00F81B58" w:rsidRPr="005E6568" w:rsidRDefault="00F81B58" w:rsidP="005E6568">
      <w:pPr>
        <w:pStyle w:val="aff0"/>
        <w:spacing w:line="276" w:lineRule="auto"/>
        <w:rPr>
          <w:sz w:val="24"/>
          <w:szCs w:val="24"/>
        </w:rPr>
      </w:pPr>
      <w:r w:rsidRPr="005E6568">
        <w:rPr>
          <w:sz w:val="24"/>
          <w:szCs w:val="24"/>
        </w:rPr>
        <w:t>* на 1000 родившихся.</w:t>
      </w:r>
    </w:p>
    <w:p w:rsidR="00F81B58" w:rsidRDefault="00F81B58" w:rsidP="005E6568">
      <w:pPr>
        <w:pStyle w:val="aff0"/>
        <w:spacing w:line="276" w:lineRule="auto"/>
        <w:rPr>
          <w:szCs w:val="28"/>
          <w:highlight w:val="yellow"/>
        </w:rPr>
      </w:pPr>
      <w:r w:rsidRPr="00B65422">
        <w:rPr>
          <w:szCs w:val="28"/>
        </w:rPr>
        <w:t xml:space="preserve">Таким образом, по итогам </w:t>
      </w:r>
      <w:r w:rsidR="003146DE">
        <w:rPr>
          <w:rFonts w:eastAsiaTheme="minorEastAsia"/>
          <w:szCs w:val="28"/>
          <w:lang w:val="en-US" w:eastAsia="ru-RU"/>
        </w:rPr>
        <w:t>I</w:t>
      </w:r>
      <w:r w:rsidRPr="00B65422">
        <w:rPr>
          <w:szCs w:val="28"/>
        </w:rPr>
        <w:t xml:space="preserve"> полугодия текущего года демографическая ситуация городского округа Тольятти характеризуется с одной стороны, ухудшением показателей рождаемости</w:t>
      </w:r>
      <w:r>
        <w:rPr>
          <w:szCs w:val="28"/>
        </w:rPr>
        <w:t xml:space="preserve"> и миграционной убыли</w:t>
      </w:r>
      <w:r w:rsidRPr="00B65422">
        <w:rPr>
          <w:szCs w:val="28"/>
        </w:rPr>
        <w:t>, с другой – снижением</w:t>
      </w:r>
      <w:r>
        <w:rPr>
          <w:szCs w:val="28"/>
        </w:rPr>
        <w:t xml:space="preserve"> смертности</w:t>
      </w:r>
      <w:r w:rsidRPr="00B65422">
        <w:rPr>
          <w:szCs w:val="28"/>
        </w:rPr>
        <w:t>.</w:t>
      </w:r>
    </w:p>
    <w:p w:rsidR="00F81B58" w:rsidRPr="00644351" w:rsidRDefault="00F81B58" w:rsidP="005E6568">
      <w:pPr>
        <w:pStyle w:val="230"/>
        <w:keepNext/>
        <w:keepLines/>
        <w:spacing w:before="120" w:after="0" w:line="276" w:lineRule="auto"/>
        <w:ind w:left="0"/>
        <w:jc w:val="center"/>
        <w:rPr>
          <w:bCs/>
          <w:sz w:val="28"/>
          <w:szCs w:val="28"/>
        </w:rPr>
      </w:pPr>
      <w:r w:rsidRPr="00644351">
        <w:rPr>
          <w:bCs/>
          <w:sz w:val="28"/>
          <w:szCs w:val="28"/>
        </w:rPr>
        <w:t>Ожидаемое выполнение прогнозных показа</w:t>
      </w:r>
      <w:r>
        <w:rPr>
          <w:bCs/>
          <w:sz w:val="28"/>
          <w:szCs w:val="28"/>
        </w:rPr>
        <w:t>телей в сфере демографии на 2022</w:t>
      </w:r>
      <w:r w:rsidRPr="00644351">
        <w:rPr>
          <w:bCs/>
          <w:sz w:val="28"/>
          <w:szCs w:val="28"/>
        </w:rPr>
        <w:t xml:space="preserve"> год</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559"/>
        <w:gridCol w:w="1559"/>
        <w:gridCol w:w="1418"/>
        <w:gridCol w:w="1275"/>
      </w:tblGrid>
      <w:tr w:rsidR="00F81B58" w:rsidRPr="0024684D" w:rsidTr="0024684D">
        <w:trPr>
          <w:tblHeader/>
        </w:trPr>
        <w:tc>
          <w:tcPr>
            <w:tcW w:w="3544" w:type="dxa"/>
            <w:vMerge w:val="restart"/>
            <w:vAlign w:val="center"/>
          </w:tcPr>
          <w:p w:rsidR="00F81B58" w:rsidRPr="0024684D" w:rsidRDefault="00F81B58" w:rsidP="002F56E9">
            <w:pPr>
              <w:pStyle w:val="230"/>
              <w:keepNext/>
              <w:keepLines/>
              <w:spacing w:after="0" w:line="240" w:lineRule="auto"/>
              <w:ind w:left="0" w:firstLine="0"/>
              <w:jc w:val="center"/>
              <w:rPr>
                <w:sz w:val="28"/>
                <w:szCs w:val="28"/>
              </w:rPr>
            </w:pPr>
            <w:r w:rsidRPr="0024684D">
              <w:rPr>
                <w:sz w:val="28"/>
                <w:szCs w:val="28"/>
              </w:rPr>
              <w:t>Показатели</w:t>
            </w:r>
          </w:p>
        </w:tc>
        <w:tc>
          <w:tcPr>
            <w:tcW w:w="1559" w:type="dxa"/>
            <w:vMerge w:val="restart"/>
            <w:vAlign w:val="center"/>
          </w:tcPr>
          <w:p w:rsidR="00F81B58" w:rsidRPr="0024684D" w:rsidRDefault="00F81B58" w:rsidP="002F56E9">
            <w:pPr>
              <w:pStyle w:val="230"/>
              <w:keepNext/>
              <w:keepLines/>
              <w:spacing w:after="0" w:line="240" w:lineRule="auto"/>
              <w:ind w:left="0" w:firstLine="0"/>
              <w:jc w:val="center"/>
              <w:rPr>
                <w:sz w:val="28"/>
                <w:szCs w:val="28"/>
              </w:rPr>
            </w:pPr>
            <w:r w:rsidRPr="0024684D">
              <w:rPr>
                <w:sz w:val="28"/>
                <w:szCs w:val="28"/>
              </w:rPr>
              <w:t>Единица измерения</w:t>
            </w:r>
          </w:p>
        </w:tc>
        <w:tc>
          <w:tcPr>
            <w:tcW w:w="2977" w:type="dxa"/>
            <w:gridSpan w:val="2"/>
            <w:vAlign w:val="center"/>
          </w:tcPr>
          <w:p w:rsidR="00F81B58" w:rsidRPr="0024684D" w:rsidRDefault="00F81B58" w:rsidP="002F56E9">
            <w:pPr>
              <w:ind w:firstLine="0"/>
              <w:jc w:val="center"/>
              <w:rPr>
                <w:sz w:val="28"/>
                <w:szCs w:val="28"/>
              </w:rPr>
            </w:pPr>
            <w:r w:rsidRPr="0024684D">
              <w:rPr>
                <w:sz w:val="28"/>
                <w:szCs w:val="28"/>
              </w:rPr>
              <w:t>Прогноз на 2022 год</w:t>
            </w:r>
          </w:p>
        </w:tc>
        <w:tc>
          <w:tcPr>
            <w:tcW w:w="1275" w:type="dxa"/>
            <w:vMerge w:val="restart"/>
            <w:vAlign w:val="center"/>
          </w:tcPr>
          <w:p w:rsidR="00F81B58" w:rsidRPr="0024684D" w:rsidRDefault="00F81B58" w:rsidP="002F56E9">
            <w:pPr>
              <w:ind w:firstLine="0"/>
              <w:jc w:val="center"/>
              <w:rPr>
                <w:sz w:val="28"/>
                <w:szCs w:val="28"/>
              </w:rPr>
            </w:pPr>
            <w:r w:rsidRPr="0024684D">
              <w:rPr>
                <w:sz w:val="28"/>
                <w:szCs w:val="28"/>
              </w:rPr>
              <w:t>2022 год (оценка)</w:t>
            </w:r>
          </w:p>
        </w:tc>
      </w:tr>
      <w:tr w:rsidR="00F81B58" w:rsidRPr="0024684D" w:rsidTr="0024684D">
        <w:trPr>
          <w:tblHeader/>
        </w:trPr>
        <w:tc>
          <w:tcPr>
            <w:tcW w:w="3544" w:type="dxa"/>
            <w:vMerge/>
            <w:vAlign w:val="center"/>
          </w:tcPr>
          <w:p w:rsidR="00F81B58" w:rsidRPr="0024684D" w:rsidRDefault="00F81B58" w:rsidP="002F56E9">
            <w:pPr>
              <w:pStyle w:val="230"/>
              <w:snapToGrid w:val="0"/>
              <w:spacing w:after="0" w:line="240" w:lineRule="auto"/>
              <w:ind w:left="0" w:firstLine="0"/>
              <w:jc w:val="center"/>
              <w:rPr>
                <w:sz w:val="28"/>
                <w:szCs w:val="28"/>
                <w:highlight w:val="yellow"/>
              </w:rPr>
            </w:pPr>
          </w:p>
        </w:tc>
        <w:tc>
          <w:tcPr>
            <w:tcW w:w="1559" w:type="dxa"/>
            <w:vMerge/>
            <w:vAlign w:val="center"/>
          </w:tcPr>
          <w:p w:rsidR="00F81B58" w:rsidRPr="0024684D" w:rsidRDefault="00F81B58" w:rsidP="002F56E9">
            <w:pPr>
              <w:pStyle w:val="230"/>
              <w:snapToGrid w:val="0"/>
              <w:spacing w:after="0" w:line="240" w:lineRule="auto"/>
              <w:ind w:left="0" w:firstLine="0"/>
              <w:jc w:val="center"/>
              <w:rPr>
                <w:sz w:val="28"/>
                <w:szCs w:val="28"/>
                <w:highlight w:val="yellow"/>
              </w:rPr>
            </w:pPr>
          </w:p>
        </w:tc>
        <w:tc>
          <w:tcPr>
            <w:tcW w:w="1559" w:type="dxa"/>
            <w:vAlign w:val="center"/>
          </w:tcPr>
          <w:p w:rsidR="00F81B58" w:rsidRPr="0024684D" w:rsidRDefault="00F81B58" w:rsidP="002F56E9">
            <w:pPr>
              <w:ind w:firstLine="0"/>
              <w:jc w:val="center"/>
              <w:rPr>
                <w:sz w:val="28"/>
                <w:szCs w:val="28"/>
              </w:rPr>
            </w:pPr>
            <w:r w:rsidRPr="0024684D">
              <w:rPr>
                <w:sz w:val="28"/>
                <w:szCs w:val="28"/>
              </w:rPr>
              <w:t>консервативный</w:t>
            </w:r>
          </w:p>
        </w:tc>
        <w:tc>
          <w:tcPr>
            <w:tcW w:w="1418" w:type="dxa"/>
            <w:vAlign w:val="center"/>
          </w:tcPr>
          <w:p w:rsidR="00F81B58" w:rsidRPr="0024684D" w:rsidRDefault="00F81B58" w:rsidP="002F56E9">
            <w:pPr>
              <w:ind w:firstLine="0"/>
              <w:jc w:val="center"/>
              <w:rPr>
                <w:sz w:val="28"/>
                <w:szCs w:val="28"/>
              </w:rPr>
            </w:pPr>
            <w:r w:rsidRPr="0024684D">
              <w:rPr>
                <w:sz w:val="28"/>
                <w:szCs w:val="28"/>
              </w:rPr>
              <w:t>базовый</w:t>
            </w:r>
          </w:p>
        </w:tc>
        <w:tc>
          <w:tcPr>
            <w:tcW w:w="1275" w:type="dxa"/>
            <w:vMerge/>
            <w:vAlign w:val="center"/>
          </w:tcPr>
          <w:p w:rsidR="00F81B58" w:rsidRPr="0024684D" w:rsidRDefault="00F81B58" w:rsidP="002F56E9">
            <w:pPr>
              <w:pStyle w:val="230"/>
              <w:snapToGrid w:val="0"/>
              <w:spacing w:after="0" w:line="240" w:lineRule="auto"/>
              <w:ind w:left="0" w:firstLine="0"/>
              <w:jc w:val="center"/>
              <w:rPr>
                <w:sz w:val="28"/>
                <w:szCs w:val="28"/>
                <w:highlight w:val="yellow"/>
              </w:rPr>
            </w:pPr>
          </w:p>
        </w:tc>
      </w:tr>
      <w:tr w:rsidR="00F81B58" w:rsidRPr="0024684D" w:rsidTr="0024684D">
        <w:tc>
          <w:tcPr>
            <w:tcW w:w="3544" w:type="dxa"/>
          </w:tcPr>
          <w:p w:rsidR="00F81B58" w:rsidRPr="0024684D" w:rsidRDefault="00F81B58" w:rsidP="002F56E9">
            <w:pPr>
              <w:pStyle w:val="230"/>
              <w:spacing w:after="0" w:line="240" w:lineRule="auto"/>
              <w:ind w:left="0" w:firstLine="0"/>
              <w:rPr>
                <w:sz w:val="28"/>
                <w:szCs w:val="28"/>
              </w:rPr>
            </w:pPr>
            <w:r w:rsidRPr="0024684D">
              <w:rPr>
                <w:sz w:val="28"/>
                <w:szCs w:val="28"/>
              </w:rPr>
              <w:t>Среднегодовая численность постоянного населения</w:t>
            </w:r>
          </w:p>
        </w:tc>
        <w:tc>
          <w:tcPr>
            <w:tcW w:w="1559"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тыс. человек</w:t>
            </w:r>
          </w:p>
        </w:tc>
        <w:tc>
          <w:tcPr>
            <w:tcW w:w="1559"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lang w:val="en-US"/>
              </w:rPr>
              <w:t>6</w:t>
            </w:r>
            <w:r w:rsidRPr="0024684D">
              <w:rPr>
                <w:sz w:val="28"/>
                <w:szCs w:val="28"/>
              </w:rPr>
              <w:t>83,6</w:t>
            </w:r>
          </w:p>
        </w:tc>
        <w:tc>
          <w:tcPr>
            <w:tcW w:w="1418"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683,9</w:t>
            </w:r>
          </w:p>
        </w:tc>
        <w:tc>
          <w:tcPr>
            <w:tcW w:w="1275"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681,2</w:t>
            </w:r>
          </w:p>
        </w:tc>
      </w:tr>
      <w:tr w:rsidR="00F81B58" w:rsidRPr="0024684D" w:rsidTr="0024684D">
        <w:tc>
          <w:tcPr>
            <w:tcW w:w="3544" w:type="dxa"/>
          </w:tcPr>
          <w:p w:rsidR="00F81B58" w:rsidRPr="0024684D" w:rsidRDefault="00F81B58" w:rsidP="002F56E9">
            <w:pPr>
              <w:pStyle w:val="230"/>
              <w:spacing w:after="0" w:line="240" w:lineRule="auto"/>
              <w:ind w:left="0" w:firstLine="0"/>
              <w:rPr>
                <w:sz w:val="28"/>
                <w:szCs w:val="28"/>
              </w:rPr>
            </w:pPr>
            <w:r w:rsidRPr="0024684D">
              <w:rPr>
                <w:sz w:val="28"/>
                <w:szCs w:val="28"/>
              </w:rPr>
              <w:t>Естественный прирост (убыль)</w:t>
            </w:r>
          </w:p>
        </w:tc>
        <w:tc>
          <w:tcPr>
            <w:tcW w:w="1559"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тыс. человек</w:t>
            </w:r>
          </w:p>
        </w:tc>
        <w:tc>
          <w:tcPr>
            <w:tcW w:w="1559"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-4,24</w:t>
            </w:r>
          </w:p>
        </w:tc>
        <w:tc>
          <w:tcPr>
            <w:tcW w:w="1418"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-3,95</w:t>
            </w:r>
          </w:p>
        </w:tc>
        <w:tc>
          <w:tcPr>
            <w:tcW w:w="1275"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-5,42</w:t>
            </w:r>
          </w:p>
        </w:tc>
      </w:tr>
      <w:tr w:rsidR="00F81B58" w:rsidRPr="0024684D" w:rsidTr="0024684D">
        <w:tc>
          <w:tcPr>
            <w:tcW w:w="3544" w:type="dxa"/>
          </w:tcPr>
          <w:p w:rsidR="00F81B58" w:rsidRPr="0024684D" w:rsidRDefault="00F81B58" w:rsidP="002F56E9">
            <w:pPr>
              <w:pStyle w:val="230"/>
              <w:spacing w:after="0" w:line="240" w:lineRule="auto"/>
              <w:ind w:left="0" w:firstLine="0"/>
              <w:rPr>
                <w:sz w:val="28"/>
                <w:szCs w:val="28"/>
              </w:rPr>
            </w:pPr>
            <w:r w:rsidRPr="0024684D">
              <w:rPr>
                <w:sz w:val="28"/>
                <w:szCs w:val="28"/>
              </w:rPr>
              <w:t>Миграционный прирост (убыль)</w:t>
            </w:r>
          </w:p>
        </w:tc>
        <w:tc>
          <w:tcPr>
            <w:tcW w:w="1559"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тыс. человек</w:t>
            </w:r>
          </w:p>
        </w:tc>
        <w:tc>
          <w:tcPr>
            <w:tcW w:w="1559"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-1,80</w:t>
            </w:r>
          </w:p>
        </w:tc>
        <w:tc>
          <w:tcPr>
            <w:tcW w:w="1418"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-1,50</w:t>
            </w:r>
          </w:p>
        </w:tc>
        <w:tc>
          <w:tcPr>
            <w:tcW w:w="1275" w:type="dxa"/>
            <w:vAlign w:val="center"/>
          </w:tcPr>
          <w:p w:rsidR="00F81B58" w:rsidRPr="0024684D" w:rsidRDefault="00F81B58" w:rsidP="002F56E9">
            <w:pPr>
              <w:pStyle w:val="230"/>
              <w:spacing w:after="0" w:line="240" w:lineRule="auto"/>
              <w:ind w:left="0" w:firstLine="0"/>
              <w:jc w:val="center"/>
              <w:rPr>
                <w:sz w:val="28"/>
                <w:szCs w:val="28"/>
              </w:rPr>
            </w:pPr>
            <w:r w:rsidRPr="0024684D">
              <w:rPr>
                <w:sz w:val="28"/>
                <w:szCs w:val="28"/>
              </w:rPr>
              <w:t>-3,38</w:t>
            </w:r>
          </w:p>
        </w:tc>
      </w:tr>
    </w:tbl>
    <w:p w:rsidR="00F81B58" w:rsidRPr="0097606A" w:rsidRDefault="00F81B58" w:rsidP="00F81B58">
      <w:pPr>
        <w:pStyle w:val="aff0"/>
        <w:spacing w:line="276" w:lineRule="auto"/>
        <w:rPr>
          <w:szCs w:val="28"/>
        </w:rPr>
      </w:pPr>
      <w:r w:rsidRPr="00871BEA">
        <w:rPr>
          <w:szCs w:val="28"/>
        </w:rPr>
        <w:t>В результате</w:t>
      </w:r>
      <w:r w:rsidRPr="00871BEA">
        <w:rPr>
          <w:rFonts w:eastAsia="Calibri"/>
          <w:bCs/>
          <w:szCs w:val="28"/>
          <w:lang w:eastAsia="en-US"/>
        </w:rPr>
        <w:t>, численность населения в городском округа Тольятти в среднегодовом выражении в 2022 году снизится значительнее</w:t>
      </w:r>
      <w:r w:rsidR="00C3501E">
        <w:rPr>
          <w:rFonts w:eastAsia="Calibri"/>
          <w:bCs/>
          <w:szCs w:val="28"/>
          <w:lang w:eastAsia="en-US"/>
        </w:rPr>
        <w:t>, чем ожидалось ранее,</w:t>
      </w:r>
      <w:r w:rsidRPr="00871BEA">
        <w:rPr>
          <w:rFonts w:eastAsia="Calibri"/>
          <w:bCs/>
          <w:szCs w:val="28"/>
          <w:lang w:eastAsia="en-US"/>
        </w:rPr>
        <w:t xml:space="preserve"> и может </w:t>
      </w:r>
      <w:r w:rsidRPr="001A2618">
        <w:rPr>
          <w:rFonts w:eastAsia="Calibri"/>
          <w:bCs/>
          <w:szCs w:val="28"/>
          <w:lang w:eastAsia="en-US"/>
        </w:rPr>
        <w:t xml:space="preserve">составить 681,2 </w:t>
      </w:r>
      <w:r w:rsidRPr="001A2618">
        <w:rPr>
          <w:szCs w:val="28"/>
        </w:rPr>
        <w:t>тыс. человек, что на 8,1 тыс. человек или 1,2% меньше, чем в 2021 году</w:t>
      </w:r>
      <w:r w:rsidRPr="0097606A">
        <w:rPr>
          <w:szCs w:val="28"/>
        </w:rPr>
        <w:t>. Динамика смертности во втором полугодии 2022 года замедлилась, при этом, естественная убыль населения в 2022 году останется на уровне 2021 года</w:t>
      </w:r>
      <w:r w:rsidR="00C3501E">
        <w:rPr>
          <w:szCs w:val="28"/>
        </w:rPr>
        <w:t xml:space="preserve"> за счет снижения рождаемости</w:t>
      </w:r>
      <w:r w:rsidRPr="0097606A">
        <w:rPr>
          <w:szCs w:val="28"/>
        </w:rPr>
        <w:t xml:space="preserve">. </w:t>
      </w:r>
    </w:p>
    <w:p w:rsidR="00F81B58" w:rsidRPr="00385A01"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A4323A">
        <w:rPr>
          <w:rFonts w:eastAsiaTheme="minorEastAsia"/>
          <w:sz w:val="28"/>
          <w:szCs w:val="28"/>
          <w:lang w:eastAsia="ru-RU"/>
        </w:rPr>
        <w:t>На демографические процессы в городе влияет ситуация в сфере здравоохранения. Согласно данным Самарастата, по состоянию на 01.01.2022 осуществляют деятельность 9 больничных учреждений на 4 988 коек. Обеспеченность населения больничными койками составила 72,8 ед</w:t>
      </w:r>
      <w:r w:rsidR="005C4072">
        <w:rPr>
          <w:rFonts w:eastAsiaTheme="minorEastAsia"/>
          <w:sz w:val="28"/>
          <w:szCs w:val="28"/>
          <w:lang w:eastAsia="ru-RU"/>
        </w:rPr>
        <w:t>иниц</w:t>
      </w:r>
      <w:r w:rsidRPr="00A4323A">
        <w:rPr>
          <w:rFonts w:eastAsiaTheme="minorEastAsia"/>
          <w:sz w:val="28"/>
          <w:szCs w:val="28"/>
          <w:lang w:eastAsia="ru-RU"/>
        </w:rPr>
        <w:t xml:space="preserve"> на 10 тыс. человек населения </w:t>
      </w:r>
      <w:r>
        <w:rPr>
          <w:rFonts w:eastAsiaTheme="minorEastAsia"/>
          <w:sz w:val="28"/>
          <w:szCs w:val="28"/>
          <w:lang w:eastAsia="ru-RU"/>
        </w:rPr>
        <w:t>(на 4 коек</w:t>
      </w:r>
      <w:r w:rsidRPr="00A4323A">
        <w:rPr>
          <w:rFonts w:eastAsiaTheme="minorEastAsia"/>
          <w:sz w:val="28"/>
          <w:szCs w:val="28"/>
          <w:lang w:eastAsia="ru-RU"/>
        </w:rPr>
        <w:t xml:space="preserve"> меньше, чем в 2020 году, на 1,6 ед. ниже областного уровня). </w:t>
      </w:r>
      <w:r w:rsidRPr="00385A01">
        <w:rPr>
          <w:rFonts w:eastAsiaTheme="minorEastAsia"/>
          <w:sz w:val="28"/>
          <w:szCs w:val="28"/>
          <w:lang w:eastAsia="ru-RU"/>
        </w:rPr>
        <w:t xml:space="preserve">Среди городских округов области по обеспеченности населения больничными койками городской округ Тольятти занимает </w:t>
      </w:r>
      <w:r w:rsidR="005C4072">
        <w:rPr>
          <w:rFonts w:eastAsiaTheme="minorEastAsia"/>
          <w:sz w:val="28"/>
          <w:szCs w:val="28"/>
          <w:lang w:eastAsia="ru-RU"/>
        </w:rPr>
        <w:t xml:space="preserve">второе </w:t>
      </w:r>
      <w:r w:rsidRPr="00385A01">
        <w:rPr>
          <w:rFonts w:eastAsiaTheme="minorEastAsia"/>
          <w:sz w:val="28"/>
          <w:szCs w:val="28"/>
          <w:lang w:eastAsia="ru-RU"/>
        </w:rPr>
        <w:t>место (</w:t>
      </w:r>
      <w:r w:rsidR="005C4072">
        <w:rPr>
          <w:rFonts w:eastAsiaTheme="minorEastAsia"/>
          <w:sz w:val="28"/>
          <w:szCs w:val="28"/>
          <w:lang w:eastAsia="ru-RU"/>
        </w:rPr>
        <w:t>первое</w:t>
      </w:r>
      <w:r w:rsidRPr="00385A01">
        <w:rPr>
          <w:rFonts w:eastAsiaTheme="minorEastAsia"/>
          <w:sz w:val="28"/>
          <w:szCs w:val="28"/>
          <w:lang w:eastAsia="ru-RU"/>
        </w:rPr>
        <w:t xml:space="preserve"> место – г.о. Самара).  </w:t>
      </w:r>
    </w:p>
    <w:p w:rsidR="00F81B58" w:rsidRPr="00244CAC"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244CAC">
        <w:rPr>
          <w:rFonts w:eastAsiaTheme="minorEastAsia"/>
          <w:sz w:val="28"/>
          <w:szCs w:val="28"/>
          <w:lang w:eastAsia="ru-RU"/>
        </w:rPr>
        <w:t>Число врачебных амбулаторно-поликлинических учреждений городского округа Тольятти по сравнению с предыдущим годом сократилось на 3,8% и составило 50 ед</w:t>
      </w:r>
      <w:r w:rsidR="005C4072">
        <w:rPr>
          <w:rFonts w:eastAsiaTheme="minorEastAsia"/>
          <w:sz w:val="28"/>
          <w:szCs w:val="28"/>
          <w:lang w:eastAsia="ru-RU"/>
        </w:rPr>
        <w:t>иниц</w:t>
      </w:r>
      <w:r w:rsidRPr="00244CAC">
        <w:rPr>
          <w:rFonts w:eastAsiaTheme="minorEastAsia"/>
          <w:sz w:val="28"/>
          <w:szCs w:val="28"/>
          <w:lang w:eastAsia="ru-RU"/>
        </w:rPr>
        <w:t>.</w:t>
      </w:r>
    </w:p>
    <w:p w:rsidR="00F81B58" w:rsidRPr="001765E0"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7415B7">
        <w:rPr>
          <w:rFonts w:eastAsiaTheme="minorEastAsia"/>
          <w:sz w:val="28"/>
          <w:szCs w:val="28"/>
          <w:lang w:eastAsia="ru-RU"/>
        </w:rPr>
        <w:t xml:space="preserve">Мощность врачебных амбулаторно-поликлинических учреждений городского округа Тольятти составила 14921 посещений в смену, что на </w:t>
      </w:r>
      <w:r>
        <w:rPr>
          <w:rFonts w:eastAsiaTheme="minorEastAsia"/>
          <w:sz w:val="28"/>
          <w:szCs w:val="28"/>
          <w:lang w:eastAsia="ru-RU"/>
        </w:rPr>
        <w:t>2</w:t>
      </w:r>
      <w:r w:rsidRPr="007415B7">
        <w:rPr>
          <w:rFonts w:eastAsiaTheme="minorEastAsia"/>
          <w:sz w:val="28"/>
          <w:szCs w:val="28"/>
          <w:lang w:eastAsia="ru-RU"/>
        </w:rPr>
        <w:t xml:space="preserve"> ед</w:t>
      </w:r>
      <w:r w:rsidR="005C4072">
        <w:rPr>
          <w:rFonts w:eastAsiaTheme="minorEastAsia"/>
          <w:sz w:val="28"/>
          <w:szCs w:val="28"/>
          <w:lang w:eastAsia="ru-RU"/>
        </w:rPr>
        <w:t>иницы</w:t>
      </w:r>
      <w:r w:rsidRPr="007415B7">
        <w:rPr>
          <w:rFonts w:eastAsiaTheme="minorEastAsia"/>
          <w:sz w:val="28"/>
          <w:szCs w:val="28"/>
          <w:lang w:eastAsia="ru-RU"/>
        </w:rPr>
        <w:t xml:space="preserve"> ниже уровня 2020 года</w:t>
      </w:r>
      <w:r w:rsidRPr="00B557F8">
        <w:rPr>
          <w:rFonts w:eastAsiaTheme="minorEastAsia"/>
          <w:sz w:val="28"/>
          <w:szCs w:val="28"/>
          <w:lang w:eastAsia="ru-RU"/>
        </w:rPr>
        <w:t>. В расчёте на 10 тыс. человек населения данный показатель составил 217,6 ед</w:t>
      </w:r>
      <w:r w:rsidR="005C4072">
        <w:rPr>
          <w:rFonts w:eastAsiaTheme="minorEastAsia"/>
          <w:sz w:val="28"/>
          <w:szCs w:val="28"/>
          <w:lang w:eastAsia="ru-RU"/>
        </w:rPr>
        <w:t>иниц</w:t>
      </w:r>
      <w:r w:rsidRPr="00B557F8">
        <w:rPr>
          <w:rFonts w:eastAsiaTheme="minorEastAsia"/>
          <w:sz w:val="28"/>
          <w:szCs w:val="28"/>
          <w:lang w:eastAsia="ru-RU"/>
        </w:rPr>
        <w:t>, что на 19,6% меньше областного уровня (270,7 ед</w:t>
      </w:r>
      <w:r w:rsidRPr="005804AB">
        <w:rPr>
          <w:rFonts w:eastAsiaTheme="minorEastAsia"/>
          <w:sz w:val="28"/>
          <w:szCs w:val="28"/>
          <w:lang w:eastAsia="ru-RU"/>
        </w:rPr>
        <w:t xml:space="preserve">.). Среди </w:t>
      </w:r>
      <w:r w:rsidRPr="00B03559">
        <w:rPr>
          <w:rFonts w:eastAsiaTheme="minorEastAsia"/>
          <w:sz w:val="28"/>
          <w:szCs w:val="28"/>
          <w:lang w:eastAsia="ru-RU"/>
        </w:rPr>
        <w:t xml:space="preserve">городских округов Самарской области наиболее высокий уровень данного показателя в г.о. Жигулевск (329,2 посещений в смену в расчёте на 10 тыс. человек населения), в г.о. Самара (311,6) и в г.о. Отрадный (300,3), </w:t>
      </w:r>
      <w:r w:rsidRPr="001765E0">
        <w:rPr>
          <w:rFonts w:eastAsiaTheme="minorEastAsia"/>
          <w:sz w:val="28"/>
          <w:szCs w:val="28"/>
          <w:lang w:eastAsia="ru-RU"/>
        </w:rPr>
        <w:t>наименьший – в г.о. Октябрьск (187,5).</w:t>
      </w:r>
    </w:p>
    <w:p w:rsidR="00F81B58" w:rsidRPr="00890AA8" w:rsidRDefault="00F81B58" w:rsidP="00F81B58">
      <w:pPr>
        <w:widowControl w:val="0"/>
        <w:suppressAutoHyphens w:val="0"/>
        <w:autoSpaceDE w:val="0"/>
        <w:autoSpaceDN w:val="0"/>
        <w:adjustRightInd w:val="0"/>
        <w:spacing w:line="276" w:lineRule="auto"/>
        <w:rPr>
          <w:rFonts w:eastAsiaTheme="minorEastAsia"/>
          <w:sz w:val="28"/>
          <w:szCs w:val="28"/>
          <w:highlight w:val="yellow"/>
          <w:lang w:eastAsia="ru-RU"/>
        </w:rPr>
      </w:pPr>
      <w:r w:rsidRPr="001765E0">
        <w:rPr>
          <w:rFonts w:eastAsiaTheme="minorEastAsia"/>
          <w:sz w:val="28"/>
          <w:szCs w:val="28"/>
          <w:lang w:eastAsia="ru-RU"/>
        </w:rPr>
        <w:t xml:space="preserve">На конец 2021 года в городском округе Тольятти численность врачей всех специальностей составила 2557 человек, </w:t>
      </w:r>
      <w:r>
        <w:rPr>
          <w:rFonts w:eastAsiaTheme="minorEastAsia"/>
          <w:sz w:val="28"/>
          <w:szCs w:val="28"/>
          <w:lang w:eastAsia="ru-RU"/>
        </w:rPr>
        <w:t>не изменила</w:t>
      </w:r>
      <w:r w:rsidRPr="001765E0">
        <w:rPr>
          <w:rFonts w:eastAsiaTheme="minorEastAsia"/>
          <w:sz w:val="28"/>
          <w:szCs w:val="28"/>
          <w:lang w:eastAsia="ru-RU"/>
        </w:rPr>
        <w:t xml:space="preserve">сь по сравнению с предыдущим годом. По обеспеченности населения врачами всех специальностей с 2011 года городской округ Тольятти продолжает занимать </w:t>
      </w:r>
      <w:r w:rsidR="005C4072">
        <w:rPr>
          <w:rFonts w:eastAsiaTheme="minorEastAsia"/>
          <w:sz w:val="28"/>
          <w:szCs w:val="28"/>
          <w:lang w:eastAsia="ru-RU"/>
        </w:rPr>
        <w:t>второе</w:t>
      </w:r>
      <w:r w:rsidRPr="001765E0">
        <w:rPr>
          <w:rFonts w:eastAsiaTheme="minorEastAsia"/>
          <w:sz w:val="28"/>
          <w:szCs w:val="28"/>
          <w:lang w:eastAsia="ru-RU"/>
        </w:rPr>
        <w:t xml:space="preserve"> место (37,3 врачей на 10 тыс. человек населения) по Самарской области среди городских округов (</w:t>
      </w:r>
      <w:r w:rsidR="005C4072">
        <w:rPr>
          <w:rFonts w:eastAsiaTheme="minorEastAsia"/>
          <w:sz w:val="28"/>
          <w:szCs w:val="28"/>
          <w:lang w:eastAsia="ru-RU"/>
        </w:rPr>
        <w:t>первое</w:t>
      </w:r>
      <w:r w:rsidRPr="001765E0">
        <w:rPr>
          <w:rFonts w:eastAsiaTheme="minorEastAsia"/>
          <w:sz w:val="28"/>
          <w:szCs w:val="28"/>
          <w:lang w:eastAsia="ru-RU"/>
        </w:rPr>
        <w:t xml:space="preserve"> место – г.о. Самара</w:t>
      </w:r>
      <w:r w:rsidRPr="003D06D5">
        <w:rPr>
          <w:rFonts w:eastAsiaTheme="minorEastAsia"/>
          <w:sz w:val="28"/>
          <w:szCs w:val="28"/>
          <w:lang w:eastAsia="ru-RU"/>
        </w:rPr>
        <w:t>). В среднем нагрузка на одного врача в городском округе Тольятти составила 268 человека, что на 32,0% выше среднеобластного уровня (203 человека).</w:t>
      </w:r>
    </w:p>
    <w:p w:rsidR="00F81B58" w:rsidRPr="00890AA8" w:rsidRDefault="00F81B58" w:rsidP="00F81B58">
      <w:pPr>
        <w:widowControl w:val="0"/>
        <w:suppressAutoHyphens w:val="0"/>
        <w:autoSpaceDE w:val="0"/>
        <w:autoSpaceDN w:val="0"/>
        <w:adjustRightInd w:val="0"/>
        <w:spacing w:line="276" w:lineRule="auto"/>
        <w:rPr>
          <w:rFonts w:eastAsiaTheme="minorEastAsia"/>
          <w:sz w:val="28"/>
          <w:szCs w:val="28"/>
          <w:highlight w:val="yellow"/>
          <w:lang w:eastAsia="ru-RU"/>
        </w:rPr>
      </w:pPr>
      <w:r w:rsidRPr="00293173">
        <w:rPr>
          <w:rFonts w:eastAsiaTheme="minorEastAsia"/>
          <w:sz w:val="28"/>
          <w:szCs w:val="28"/>
          <w:lang w:eastAsia="ru-RU"/>
        </w:rPr>
        <w:t>Численность среднего медицинского персонала на 01.01.2022 составила 5610 человек, что на 2,8% меньше</w:t>
      </w:r>
      <w:r w:rsidRPr="001311CD">
        <w:rPr>
          <w:rFonts w:eastAsiaTheme="minorEastAsia"/>
          <w:sz w:val="28"/>
          <w:szCs w:val="28"/>
          <w:lang w:eastAsia="ru-RU"/>
        </w:rPr>
        <w:t xml:space="preserve">, чем годом ранее. По обеспеченности средним медицинским персоналом городского округа Тольятти занимает </w:t>
      </w:r>
      <w:r w:rsidR="005C4072">
        <w:rPr>
          <w:rFonts w:eastAsiaTheme="minorEastAsia"/>
          <w:sz w:val="28"/>
          <w:szCs w:val="28"/>
          <w:lang w:eastAsia="ru-RU"/>
        </w:rPr>
        <w:t>четвертое</w:t>
      </w:r>
      <w:r w:rsidRPr="001311CD">
        <w:rPr>
          <w:rFonts w:eastAsiaTheme="minorEastAsia"/>
          <w:sz w:val="28"/>
          <w:szCs w:val="28"/>
          <w:lang w:eastAsia="ru-RU"/>
        </w:rPr>
        <w:t xml:space="preserve"> место среди городских округов Самарской области в расчёте на 10 тыс. человек населения (</w:t>
      </w:r>
      <w:r w:rsidR="005C4072">
        <w:rPr>
          <w:rFonts w:eastAsiaTheme="minorEastAsia"/>
          <w:sz w:val="28"/>
          <w:szCs w:val="28"/>
          <w:lang w:eastAsia="ru-RU"/>
        </w:rPr>
        <w:t>первое</w:t>
      </w:r>
      <w:r w:rsidRPr="001311CD">
        <w:rPr>
          <w:rFonts w:eastAsiaTheme="minorEastAsia"/>
          <w:sz w:val="28"/>
          <w:szCs w:val="28"/>
          <w:lang w:eastAsia="ru-RU"/>
        </w:rPr>
        <w:t xml:space="preserve"> место – г.о. Сызрань, </w:t>
      </w:r>
      <w:r w:rsidR="005C4072">
        <w:rPr>
          <w:rFonts w:eastAsiaTheme="minorEastAsia"/>
          <w:sz w:val="28"/>
          <w:szCs w:val="28"/>
          <w:lang w:eastAsia="ru-RU"/>
        </w:rPr>
        <w:t>второе</w:t>
      </w:r>
      <w:r w:rsidRPr="001311CD">
        <w:rPr>
          <w:rFonts w:eastAsiaTheme="minorEastAsia"/>
          <w:sz w:val="28"/>
          <w:szCs w:val="28"/>
          <w:lang w:eastAsia="ru-RU"/>
        </w:rPr>
        <w:t xml:space="preserve"> место – г.о. Самара, </w:t>
      </w:r>
      <w:r w:rsidR="005C4072">
        <w:rPr>
          <w:rFonts w:eastAsiaTheme="minorEastAsia"/>
          <w:sz w:val="28"/>
          <w:szCs w:val="28"/>
          <w:lang w:eastAsia="ru-RU"/>
        </w:rPr>
        <w:t>третье</w:t>
      </w:r>
      <w:r w:rsidRPr="001311CD">
        <w:rPr>
          <w:rFonts w:eastAsiaTheme="minorEastAsia"/>
          <w:sz w:val="28"/>
          <w:szCs w:val="28"/>
          <w:lang w:eastAsia="ru-RU"/>
        </w:rPr>
        <w:t xml:space="preserve"> место – г.о. Новокуйбышевск</w:t>
      </w:r>
      <w:r w:rsidRPr="008E3BC3">
        <w:rPr>
          <w:rFonts w:eastAsiaTheme="minorEastAsia"/>
          <w:sz w:val="28"/>
          <w:szCs w:val="28"/>
          <w:lang w:eastAsia="ru-RU"/>
        </w:rPr>
        <w:t xml:space="preserve">). По сравнению с 2020 годом значение данного показателя по городскому округу Тольятти сократилась на 1,7% и составило 81,8 человек (по Самарской области – 91,7 человека). </w:t>
      </w:r>
    </w:p>
    <w:p w:rsidR="00F81B58" w:rsidRPr="00E6275A"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E6275A">
        <w:rPr>
          <w:rFonts w:eastAsiaTheme="minorEastAsia"/>
          <w:sz w:val="28"/>
          <w:szCs w:val="28"/>
          <w:lang w:eastAsia="ru-RU"/>
        </w:rPr>
        <w:t>По состоянию на 01.07.2022 количество граждан городского округа Тольятти, ежегодно проходящих профилактический медицинский осмотр и (или) диспансеризацию, составило 151713 человек (41,3% от годового показателя).</w:t>
      </w:r>
    </w:p>
    <w:p w:rsidR="00F81B58" w:rsidRPr="00732B0F"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732B0F">
        <w:rPr>
          <w:rFonts w:eastAsiaTheme="minorEastAsia"/>
          <w:sz w:val="28"/>
          <w:szCs w:val="28"/>
          <w:lang w:eastAsia="ru-RU"/>
        </w:rPr>
        <w:t>С 13 мая 2021 года на территории торгового развлекательного центра «Парк Хаус» в прививочном пункте по вакцинации от новой коронавирусной инфекции дополнительно проводится диспансеризация жителей города.</w:t>
      </w:r>
    </w:p>
    <w:p w:rsidR="00F81B58" w:rsidRPr="00732B0F"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732B0F">
        <w:rPr>
          <w:rFonts w:eastAsiaTheme="minorEastAsia"/>
          <w:sz w:val="28"/>
          <w:szCs w:val="28"/>
          <w:lang w:eastAsia="ru-RU"/>
        </w:rPr>
        <w:t>К процессам организации оказания медицинской помощи (помощь при проведении вакцинации, диспансеризации, доставки маломобильных пациентов в учреждения здравоохранения, обзвоне пациентов и т.д.) в городском округе Тольятти привлечено 51 волонтёров - студентов «Тольяттинского медицинского колледжа» (104,1% от годового показателя).</w:t>
      </w:r>
    </w:p>
    <w:p w:rsidR="00F81B58" w:rsidRPr="00E55C63"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8536C1">
        <w:rPr>
          <w:rFonts w:eastAsiaTheme="minorEastAsia"/>
          <w:sz w:val="28"/>
          <w:szCs w:val="28"/>
          <w:lang w:eastAsia="ru-RU"/>
        </w:rPr>
        <w:t xml:space="preserve">Волонтеры информируют население о порядке проведения вакцинации, оказывают помощь медикам и пациентам непосредственно в пунктах </w:t>
      </w:r>
      <w:r w:rsidRPr="00E55C63">
        <w:rPr>
          <w:rFonts w:eastAsiaTheme="minorEastAsia"/>
          <w:sz w:val="28"/>
          <w:szCs w:val="28"/>
          <w:lang w:eastAsia="ru-RU"/>
        </w:rPr>
        <w:t>вакцинации и доставляют лекарства гражданам.</w:t>
      </w:r>
    </w:p>
    <w:p w:rsidR="00F81B58" w:rsidRPr="00E55C63" w:rsidRDefault="00F81B58" w:rsidP="00F81B58">
      <w:pPr>
        <w:widowControl w:val="0"/>
        <w:suppressAutoHyphens w:val="0"/>
        <w:autoSpaceDE w:val="0"/>
        <w:autoSpaceDN w:val="0"/>
        <w:adjustRightInd w:val="0"/>
        <w:spacing w:line="276" w:lineRule="auto"/>
        <w:rPr>
          <w:rFonts w:eastAsiaTheme="minorEastAsia"/>
          <w:sz w:val="28"/>
          <w:szCs w:val="28"/>
          <w:lang w:eastAsia="ru-RU"/>
        </w:rPr>
      </w:pPr>
      <w:r w:rsidRPr="00E55C63">
        <w:rPr>
          <w:rFonts w:eastAsiaTheme="minorEastAsia"/>
          <w:sz w:val="28"/>
          <w:szCs w:val="28"/>
          <w:lang w:eastAsia="ru-RU"/>
        </w:rPr>
        <w:t xml:space="preserve">В I полугодии 2022 года администрацией городского округа Тольятти проведено 19 массовых мероприятий с целью информирования граждан о профилактике заболеваний и популяризации ЗОЖ, информирования граждан о созданных в муниципальном образовании условиях для привлечения медицинских кадров. </w:t>
      </w:r>
    </w:p>
    <w:p w:rsidR="00C66193" w:rsidRPr="00DC5093" w:rsidRDefault="00C66193" w:rsidP="003D6FC4">
      <w:pPr>
        <w:widowControl w:val="0"/>
        <w:suppressAutoHyphens w:val="0"/>
        <w:spacing w:line="276" w:lineRule="auto"/>
        <w:ind w:firstLine="0"/>
        <w:jc w:val="center"/>
        <w:rPr>
          <w:bCs/>
          <w:sz w:val="28"/>
          <w:szCs w:val="28"/>
          <w:lang w:eastAsia="en-US"/>
        </w:rPr>
      </w:pPr>
      <w:r w:rsidRPr="00DC5093">
        <w:rPr>
          <w:bCs/>
          <w:sz w:val="28"/>
          <w:szCs w:val="28"/>
          <w:lang w:eastAsia="en-US"/>
        </w:rPr>
        <w:t>Сфера занятости</w:t>
      </w:r>
    </w:p>
    <w:p w:rsidR="00014611" w:rsidRPr="00A76B1B" w:rsidRDefault="00014611" w:rsidP="0024684D">
      <w:pPr>
        <w:widowControl w:val="0"/>
        <w:suppressAutoHyphens w:val="0"/>
        <w:spacing w:line="276" w:lineRule="auto"/>
        <w:rPr>
          <w:bCs/>
          <w:sz w:val="28"/>
          <w:szCs w:val="28"/>
          <w:lang w:eastAsia="en-US"/>
        </w:rPr>
      </w:pPr>
      <w:r w:rsidRPr="00A76B1B">
        <w:rPr>
          <w:bCs/>
          <w:sz w:val="28"/>
          <w:szCs w:val="28"/>
          <w:lang w:eastAsia="en-US"/>
        </w:rPr>
        <w:t>Демографические факторы, а именно сокращение численности населения в трудоспособном возрасте, влияют н</w:t>
      </w:r>
      <w:r w:rsidRPr="00A76B1B">
        <w:rPr>
          <w:sz w:val="28"/>
          <w:szCs w:val="28"/>
          <w:lang w:eastAsia="en-US"/>
        </w:rPr>
        <w:t xml:space="preserve">а ситуацию в сфере занятости населения </w:t>
      </w:r>
      <w:r w:rsidRPr="00A76B1B">
        <w:rPr>
          <w:bCs/>
          <w:sz w:val="28"/>
          <w:szCs w:val="28"/>
          <w:lang w:eastAsia="en-US"/>
        </w:rPr>
        <w:t>городского округа Тольятти.</w:t>
      </w:r>
    </w:p>
    <w:p w:rsidR="00014611" w:rsidRPr="000B6984" w:rsidRDefault="0039542D" w:rsidP="0024684D">
      <w:pPr>
        <w:widowControl w:val="0"/>
        <w:numPr>
          <w:ilvl w:val="0"/>
          <w:numId w:val="2"/>
        </w:numPr>
        <w:shd w:val="clear" w:color="auto" w:fill="FFFFFF"/>
        <w:tabs>
          <w:tab w:val="left" w:pos="8208"/>
        </w:tabs>
        <w:suppressAutoHyphens w:val="0"/>
        <w:spacing w:line="276" w:lineRule="auto"/>
        <w:ind w:left="0" w:firstLine="709"/>
        <w:contextualSpacing/>
        <w:rPr>
          <w:bCs/>
          <w:sz w:val="28"/>
          <w:szCs w:val="28"/>
          <w:lang w:eastAsia="en-US"/>
        </w:rPr>
      </w:pPr>
      <w:r>
        <w:rPr>
          <w:bCs/>
          <w:sz w:val="28"/>
          <w:szCs w:val="28"/>
          <w:lang w:eastAsia="en-US"/>
        </w:rPr>
        <w:t>За последние 10</w:t>
      </w:r>
      <w:r w:rsidR="00014611" w:rsidRPr="00B93F54">
        <w:rPr>
          <w:bCs/>
          <w:sz w:val="28"/>
          <w:szCs w:val="28"/>
          <w:lang w:eastAsia="en-US"/>
        </w:rPr>
        <w:t xml:space="preserve"> лет (с 2010 года) численность населения в трудоспособном возрасте снизилась на 61,3 тыс. человек (на 13,4</w:t>
      </w:r>
      <w:r w:rsidR="00014611">
        <w:rPr>
          <w:bCs/>
          <w:sz w:val="28"/>
          <w:szCs w:val="28"/>
          <w:lang w:eastAsia="en-US"/>
        </w:rPr>
        <w:t>%) и составила в 2021</w:t>
      </w:r>
      <w:r w:rsidR="00014611" w:rsidRPr="00B93F54">
        <w:rPr>
          <w:bCs/>
          <w:sz w:val="28"/>
          <w:szCs w:val="28"/>
          <w:lang w:eastAsia="en-US"/>
        </w:rPr>
        <w:t xml:space="preserve"> году 395,1 тыс. </w:t>
      </w:r>
      <w:r w:rsidR="00014611" w:rsidRPr="000B6984">
        <w:rPr>
          <w:bCs/>
          <w:sz w:val="28"/>
          <w:szCs w:val="28"/>
          <w:lang w:eastAsia="en-US"/>
        </w:rPr>
        <w:t>человек</w:t>
      </w:r>
      <w:r w:rsidR="00E8140D">
        <w:rPr>
          <w:bCs/>
          <w:sz w:val="28"/>
          <w:szCs w:val="28"/>
          <w:lang w:eastAsia="en-US"/>
        </w:rPr>
        <w:t xml:space="preserve"> (в среднегодовом значении)</w:t>
      </w:r>
      <w:r w:rsidR="00014611" w:rsidRPr="000B6984">
        <w:rPr>
          <w:bCs/>
          <w:sz w:val="28"/>
          <w:szCs w:val="28"/>
          <w:lang w:eastAsia="en-US"/>
        </w:rPr>
        <w:t>. При этом численность населения старше трудоспособного возраста выросла на 21,0 тыс. человек (на 13,9%) и составила 171,</w:t>
      </w:r>
      <w:r w:rsidR="00E8140D">
        <w:rPr>
          <w:bCs/>
          <w:sz w:val="28"/>
          <w:szCs w:val="28"/>
          <w:lang w:eastAsia="en-US"/>
        </w:rPr>
        <w:t>7</w:t>
      </w:r>
      <w:r w:rsidR="00014611" w:rsidRPr="000B6984">
        <w:rPr>
          <w:bCs/>
          <w:sz w:val="28"/>
          <w:szCs w:val="28"/>
          <w:lang w:eastAsia="en-US"/>
        </w:rPr>
        <w:t xml:space="preserve"> тыс. человек, а численность населения моложе трудосп</w:t>
      </w:r>
      <w:r w:rsidR="00A60F10">
        <w:rPr>
          <w:bCs/>
          <w:sz w:val="28"/>
          <w:szCs w:val="28"/>
          <w:lang w:eastAsia="en-US"/>
        </w:rPr>
        <w:t>особного возраста выросла на 9,4</w:t>
      </w:r>
      <w:r w:rsidR="00014611" w:rsidRPr="000B6984">
        <w:rPr>
          <w:bCs/>
          <w:sz w:val="28"/>
          <w:szCs w:val="28"/>
          <w:lang w:eastAsia="en-US"/>
        </w:rPr>
        <w:t xml:space="preserve"> тыс. человек к 2010 году (на 8,3%) и составила 122,5 тыс. человек. </w:t>
      </w:r>
    </w:p>
    <w:p w:rsidR="00014611" w:rsidRPr="00A875C5" w:rsidRDefault="00014611" w:rsidP="0024684D">
      <w:pPr>
        <w:pStyle w:val="aff0"/>
        <w:spacing w:line="276" w:lineRule="auto"/>
        <w:rPr>
          <w:szCs w:val="28"/>
        </w:rPr>
      </w:pPr>
      <w:r w:rsidRPr="00A875C5">
        <w:rPr>
          <w:szCs w:val="28"/>
        </w:rPr>
        <w:t>В результате снижения численности населения в трудоспособном возрасте наблюдалось последовательное снижение численности трудовых ресурсов. Доля численности трудовых ресурсов в общей численности населения городского округа Т</w:t>
      </w:r>
      <w:r>
        <w:rPr>
          <w:szCs w:val="28"/>
        </w:rPr>
        <w:t>ольятти за 2021</w:t>
      </w:r>
      <w:r w:rsidRPr="00A875C5">
        <w:rPr>
          <w:szCs w:val="28"/>
        </w:rPr>
        <w:t xml:space="preserve"> год составила 63,9% или 440,4 тыс. человек.</w:t>
      </w:r>
    </w:p>
    <w:p w:rsidR="00014611" w:rsidRPr="0018535A" w:rsidRDefault="00014611" w:rsidP="0024684D">
      <w:pPr>
        <w:widowControl w:val="0"/>
        <w:suppressAutoHyphens w:val="0"/>
        <w:spacing w:line="276" w:lineRule="auto"/>
        <w:rPr>
          <w:bCs/>
          <w:sz w:val="28"/>
          <w:szCs w:val="28"/>
          <w:lang w:eastAsia="en-US"/>
        </w:rPr>
      </w:pPr>
      <w:r w:rsidRPr="0018535A">
        <w:rPr>
          <w:bCs/>
          <w:sz w:val="28"/>
          <w:szCs w:val="28"/>
          <w:lang w:eastAsia="en-US"/>
        </w:rPr>
        <w:t>В состав трудовых ресурсов входит все </w:t>
      </w:r>
      <w:hyperlink r:id="rId10" w:tooltip="Трудоспособное население" w:history="1">
        <w:r w:rsidRPr="0018535A">
          <w:rPr>
            <w:bCs/>
            <w:sz w:val="28"/>
            <w:szCs w:val="28"/>
            <w:lang w:eastAsia="en-US"/>
          </w:rPr>
          <w:t>трудоспособное население</w:t>
        </w:r>
      </w:hyperlink>
      <w:r w:rsidRPr="0018535A">
        <w:rPr>
          <w:bCs/>
          <w:sz w:val="28"/>
          <w:szCs w:val="28"/>
          <w:lang w:eastAsia="en-US"/>
        </w:rPr>
        <w:t>, занятое в сферах общественного хозяйства и индивидуальной трудовой деятельности, также лица трудоспособного возраста, потенциально способные к труду, но занятые в домашнем и личном подсобном хозяйстве, на учебе с отрывом от производства, на военной службе, официально признанные безработные граждане и т.п.</w:t>
      </w:r>
    </w:p>
    <w:p w:rsidR="00014611" w:rsidRPr="00CA5FF3" w:rsidRDefault="002602B3" w:rsidP="0024684D">
      <w:pPr>
        <w:pStyle w:val="aff0"/>
        <w:spacing w:line="276" w:lineRule="auto"/>
        <w:rPr>
          <w:bCs/>
          <w:szCs w:val="28"/>
          <w:lang w:eastAsia="en-US"/>
        </w:rPr>
      </w:pPr>
      <w:r w:rsidRPr="00BA753B">
        <w:rPr>
          <w:bCs/>
          <w:szCs w:val="28"/>
          <w:lang w:eastAsia="en-US"/>
        </w:rPr>
        <w:t xml:space="preserve">В результате </w:t>
      </w:r>
      <w:r w:rsidR="00BA753B">
        <w:rPr>
          <w:bCs/>
          <w:szCs w:val="28"/>
          <w:lang w:eastAsia="en-US"/>
        </w:rPr>
        <w:t>восстановительных процессов в экономике, которые привели к снятию ограничений, снижению безработицы и увеличению занятости,</w:t>
      </w:r>
      <w:r>
        <w:rPr>
          <w:bCs/>
          <w:szCs w:val="28"/>
          <w:lang w:eastAsia="en-US"/>
        </w:rPr>
        <w:t xml:space="preserve"> т</w:t>
      </w:r>
      <w:r w:rsidR="00014611" w:rsidRPr="001A6BAE">
        <w:rPr>
          <w:bCs/>
          <w:szCs w:val="28"/>
          <w:lang w:eastAsia="en-US"/>
        </w:rPr>
        <w:t>рудовые ресурсы городского округа Тол</w:t>
      </w:r>
      <w:r w:rsidR="003049B4">
        <w:rPr>
          <w:bCs/>
          <w:szCs w:val="28"/>
          <w:lang w:eastAsia="en-US"/>
        </w:rPr>
        <w:t>ьятти в 2021 году выросли на 3,9</w:t>
      </w:r>
      <w:r w:rsidR="00014611" w:rsidRPr="001A6BAE">
        <w:rPr>
          <w:bCs/>
          <w:szCs w:val="28"/>
          <w:lang w:eastAsia="en-US"/>
        </w:rPr>
        <w:t xml:space="preserve"> </w:t>
      </w:r>
      <w:r w:rsidR="00014611" w:rsidRPr="00CA5FF3">
        <w:rPr>
          <w:bCs/>
          <w:szCs w:val="28"/>
          <w:lang w:eastAsia="en-US"/>
        </w:rPr>
        <w:t>тыс. человек к 2020 году</w:t>
      </w:r>
      <w:r w:rsidR="00320169">
        <w:rPr>
          <w:bCs/>
          <w:szCs w:val="28"/>
          <w:lang w:eastAsia="en-US"/>
        </w:rPr>
        <w:t xml:space="preserve"> за счет </w:t>
      </w:r>
      <w:r w:rsidR="00320169" w:rsidRPr="00680FA6">
        <w:rPr>
          <w:bCs/>
          <w:szCs w:val="28"/>
          <w:lang w:eastAsia="en-US"/>
        </w:rPr>
        <w:t>иностранны</w:t>
      </w:r>
      <w:r w:rsidR="00320169">
        <w:rPr>
          <w:bCs/>
          <w:szCs w:val="28"/>
          <w:lang w:eastAsia="en-US"/>
        </w:rPr>
        <w:t>х</w:t>
      </w:r>
      <w:r w:rsidR="00320169" w:rsidRPr="00680FA6">
        <w:rPr>
          <w:bCs/>
          <w:szCs w:val="28"/>
          <w:lang w:eastAsia="en-US"/>
        </w:rPr>
        <w:t xml:space="preserve"> трудовы</w:t>
      </w:r>
      <w:r w:rsidR="00320169">
        <w:rPr>
          <w:bCs/>
          <w:szCs w:val="28"/>
          <w:lang w:eastAsia="en-US"/>
        </w:rPr>
        <w:t>х</w:t>
      </w:r>
      <w:r w:rsidR="00320169" w:rsidRPr="00680FA6">
        <w:rPr>
          <w:bCs/>
          <w:szCs w:val="28"/>
          <w:lang w:eastAsia="en-US"/>
        </w:rPr>
        <w:t xml:space="preserve"> мигрант</w:t>
      </w:r>
      <w:r w:rsidR="00320169">
        <w:rPr>
          <w:bCs/>
          <w:szCs w:val="28"/>
          <w:lang w:eastAsia="en-US"/>
        </w:rPr>
        <w:t>ов, численность которых выросла</w:t>
      </w:r>
      <w:r w:rsidR="00320169" w:rsidRPr="00680FA6">
        <w:rPr>
          <w:bCs/>
          <w:szCs w:val="28"/>
          <w:lang w:eastAsia="en-US"/>
        </w:rPr>
        <w:t xml:space="preserve"> на </w:t>
      </w:r>
      <w:r w:rsidR="00320169">
        <w:rPr>
          <w:bCs/>
          <w:szCs w:val="28"/>
          <w:lang w:eastAsia="en-US"/>
        </w:rPr>
        <w:t>4,5 тыс. человек и составила 17,1</w:t>
      </w:r>
      <w:r w:rsidR="00320169" w:rsidRPr="00680FA6">
        <w:rPr>
          <w:bCs/>
          <w:szCs w:val="28"/>
          <w:lang w:eastAsia="en-US"/>
        </w:rPr>
        <w:t xml:space="preserve"> тыс. человек</w:t>
      </w:r>
      <w:r w:rsidR="00320169">
        <w:rPr>
          <w:bCs/>
          <w:szCs w:val="28"/>
          <w:lang w:eastAsia="en-US"/>
        </w:rPr>
        <w:t>, а также лиц старше и младше</w:t>
      </w:r>
      <w:r w:rsidR="00320169" w:rsidRPr="00437DBB">
        <w:rPr>
          <w:bCs/>
          <w:szCs w:val="28"/>
          <w:lang w:eastAsia="en-US"/>
        </w:rPr>
        <w:t xml:space="preserve"> трудоспособного возраста, заняты</w:t>
      </w:r>
      <w:r w:rsidR="00320169">
        <w:rPr>
          <w:bCs/>
          <w:szCs w:val="28"/>
          <w:lang w:eastAsia="en-US"/>
        </w:rPr>
        <w:t>х</w:t>
      </w:r>
      <w:r w:rsidR="00320169" w:rsidRPr="00437DBB">
        <w:rPr>
          <w:bCs/>
          <w:szCs w:val="28"/>
          <w:lang w:eastAsia="en-US"/>
        </w:rPr>
        <w:t xml:space="preserve"> в экономике </w:t>
      </w:r>
      <w:r w:rsidR="00320169">
        <w:rPr>
          <w:bCs/>
          <w:szCs w:val="28"/>
          <w:lang w:eastAsia="en-US"/>
        </w:rPr>
        <w:t>-</w:t>
      </w:r>
      <w:r w:rsidR="00320169" w:rsidRPr="00437DBB">
        <w:rPr>
          <w:bCs/>
          <w:szCs w:val="28"/>
          <w:lang w:eastAsia="en-US"/>
        </w:rPr>
        <w:t xml:space="preserve"> на 0,1 тыс. человек </w:t>
      </w:r>
      <w:r w:rsidR="00320169">
        <w:rPr>
          <w:bCs/>
          <w:szCs w:val="28"/>
          <w:lang w:eastAsia="en-US"/>
        </w:rPr>
        <w:t xml:space="preserve">(составила </w:t>
      </w:r>
      <w:r w:rsidR="00320169" w:rsidRPr="00437DBB">
        <w:rPr>
          <w:bCs/>
          <w:szCs w:val="28"/>
          <w:lang w:eastAsia="en-US"/>
        </w:rPr>
        <w:t>38,1 тыс. человек).</w:t>
      </w:r>
      <w:r w:rsidR="00320169">
        <w:rPr>
          <w:bCs/>
          <w:szCs w:val="28"/>
          <w:lang w:eastAsia="en-US"/>
        </w:rPr>
        <w:t xml:space="preserve"> При этом, т</w:t>
      </w:r>
      <w:r w:rsidR="00014611" w:rsidRPr="00CA5FF3">
        <w:rPr>
          <w:bCs/>
          <w:szCs w:val="28"/>
          <w:lang w:eastAsia="en-US"/>
        </w:rPr>
        <w:t>рудоспособное население в трудоспособном возрасте сократилось на 0,8 тыс. человек (составило 385,2 тыс. человек)</w:t>
      </w:r>
      <w:r w:rsidR="00320169">
        <w:rPr>
          <w:bCs/>
          <w:szCs w:val="28"/>
          <w:lang w:eastAsia="en-US"/>
        </w:rPr>
        <w:t>.</w:t>
      </w:r>
    </w:p>
    <w:p w:rsidR="00014611" w:rsidRPr="00003DAB" w:rsidRDefault="00014611" w:rsidP="0024684D">
      <w:pPr>
        <w:pStyle w:val="aff0"/>
        <w:spacing w:line="276" w:lineRule="auto"/>
        <w:rPr>
          <w:szCs w:val="28"/>
        </w:rPr>
      </w:pPr>
      <w:r w:rsidRPr="00DD274E">
        <w:rPr>
          <w:bCs/>
          <w:szCs w:val="28"/>
          <w:lang w:eastAsia="en-US"/>
        </w:rPr>
        <w:t>В 2022 году трудоспособное</w:t>
      </w:r>
      <w:r w:rsidRPr="006421F8">
        <w:rPr>
          <w:bCs/>
          <w:szCs w:val="28"/>
          <w:lang w:eastAsia="en-US"/>
        </w:rPr>
        <w:t xml:space="preserve"> население трудоспособного возраста снизится, по оценке, на 1,</w:t>
      </w:r>
      <w:r w:rsidR="002602B3">
        <w:rPr>
          <w:bCs/>
          <w:szCs w:val="28"/>
          <w:lang w:eastAsia="en-US"/>
        </w:rPr>
        <w:t>4</w:t>
      </w:r>
      <w:r w:rsidRPr="006421F8">
        <w:rPr>
          <w:bCs/>
          <w:szCs w:val="28"/>
          <w:lang w:eastAsia="en-US"/>
        </w:rPr>
        <w:t xml:space="preserve"> тыс. человек</w:t>
      </w:r>
      <w:r w:rsidR="002602B3">
        <w:rPr>
          <w:bCs/>
          <w:szCs w:val="28"/>
          <w:lang w:eastAsia="en-US"/>
        </w:rPr>
        <w:t xml:space="preserve"> в среднем за год</w:t>
      </w:r>
      <w:r w:rsidRPr="006421F8">
        <w:rPr>
          <w:bCs/>
          <w:szCs w:val="28"/>
          <w:lang w:eastAsia="en-US"/>
        </w:rPr>
        <w:t xml:space="preserve">, иностранные трудовые мигранты </w:t>
      </w:r>
      <w:r w:rsidR="002602B3">
        <w:rPr>
          <w:bCs/>
          <w:szCs w:val="28"/>
          <w:lang w:eastAsia="en-US"/>
        </w:rPr>
        <w:t>оцениваются на уровне 2021 года</w:t>
      </w:r>
      <w:r w:rsidRPr="00853FEC">
        <w:rPr>
          <w:bCs/>
          <w:szCs w:val="28"/>
          <w:lang w:eastAsia="en-US"/>
        </w:rPr>
        <w:t xml:space="preserve">, лица старше и младше трудоспособного возраста, занятые в экономике </w:t>
      </w:r>
      <w:r w:rsidRPr="00003DAB">
        <w:rPr>
          <w:bCs/>
          <w:szCs w:val="28"/>
          <w:lang w:eastAsia="en-US"/>
        </w:rPr>
        <w:t xml:space="preserve">снизятся на 1,1 тыс. человек. В итоге численность трудовых ресурсов </w:t>
      </w:r>
      <w:r w:rsidR="002602B3">
        <w:rPr>
          <w:bCs/>
          <w:szCs w:val="28"/>
          <w:lang w:eastAsia="en-US"/>
        </w:rPr>
        <w:t>сократится</w:t>
      </w:r>
      <w:r w:rsidRPr="00003DAB">
        <w:rPr>
          <w:bCs/>
          <w:szCs w:val="28"/>
          <w:lang w:eastAsia="en-US"/>
        </w:rPr>
        <w:t xml:space="preserve"> на 2,4 тыс. человек.</w:t>
      </w:r>
    </w:p>
    <w:p w:rsidR="00014611" w:rsidRPr="00B5579C" w:rsidRDefault="00014611" w:rsidP="0024684D">
      <w:pPr>
        <w:numPr>
          <w:ilvl w:val="0"/>
          <w:numId w:val="5"/>
        </w:numPr>
        <w:suppressAutoHyphens w:val="0"/>
        <w:spacing w:line="276" w:lineRule="auto"/>
        <w:ind w:left="0" w:firstLine="709"/>
        <w:contextualSpacing/>
        <w:rPr>
          <w:bCs/>
          <w:sz w:val="28"/>
          <w:szCs w:val="28"/>
          <w:lang w:eastAsia="en-US"/>
        </w:rPr>
      </w:pPr>
      <w:r w:rsidRPr="00B5579C">
        <w:rPr>
          <w:bCs/>
          <w:sz w:val="28"/>
          <w:szCs w:val="28"/>
          <w:lang w:eastAsia="en-US"/>
        </w:rPr>
        <w:t>Распределение трудовых ресурсов по категориям занятости сложилось в 2021-2022 годах следующим образом:</w:t>
      </w:r>
    </w:p>
    <w:p w:rsidR="00014611" w:rsidRPr="00890AA8" w:rsidRDefault="00014611" w:rsidP="0024684D">
      <w:pPr>
        <w:numPr>
          <w:ilvl w:val="0"/>
          <w:numId w:val="5"/>
        </w:numPr>
        <w:suppressAutoHyphens w:val="0"/>
        <w:spacing w:line="276" w:lineRule="auto"/>
        <w:ind w:left="0" w:firstLine="709"/>
        <w:contextualSpacing/>
        <w:rPr>
          <w:bCs/>
          <w:sz w:val="28"/>
          <w:szCs w:val="28"/>
          <w:highlight w:val="yellow"/>
          <w:lang w:eastAsia="en-US"/>
        </w:rPr>
      </w:pPr>
      <w:r w:rsidRPr="00B5579C">
        <w:rPr>
          <w:bCs/>
          <w:sz w:val="28"/>
          <w:szCs w:val="28"/>
          <w:lang w:eastAsia="en-US"/>
        </w:rPr>
        <w:t xml:space="preserve">1. Численность занятых в </w:t>
      </w:r>
      <w:r w:rsidRPr="00EF637B">
        <w:rPr>
          <w:bCs/>
          <w:sz w:val="28"/>
          <w:szCs w:val="28"/>
          <w:lang w:eastAsia="en-US"/>
        </w:rPr>
        <w:t xml:space="preserve">экономике в 2021 году по данным Самарастата – 354,7 тыс. человек или 80,1% от трудовых </w:t>
      </w:r>
      <w:r w:rsidRPr="00584472">
        <w:rPr>
          <w:bCs/>
          <w:sz w:val="28"/>
          <w:szCs w:val="28"/>
          <w:lang w:eastAsia="en-US"/>
        </w:rPr>
        <w:t>ресурсов. В результате снижения безработицы</w:t>
      </w:r>
      <w:r w:rsidR="00AD79E5">
        <w:rPr>
          <w:bCs/>
          <w:sz w:val="28"/>
          <w:szCs w:val="28"/>
          <w:lang w:eastAsia="en-US"/>
        </w:rPr>
        <w:t xml:space="preserve"> и стабилизации экономики </w:t>
      </w:r>
      <w:r w:rsidRPr="00584472">
        <w:rPr>
          <w:bCs/>
          <w:sz w:val="28"/>
          <w:szCs w:val="28"/>
          <w:lang w:eastAsia="en-US"/>
        </w:rPr>
        <w:t xml:space="preserve">количество занятых в экономике </w:t>
      </w:r>
      <w:r w:rsidR="00963F7D">
        <w:rPr>
          <w:bCs/>
          <w:sz w:val="28"/>
          <w:szCs w:val="28"/>
          <w:lang w:eastAsia="en-US"/>
        </w:rPr>
        <w:t xml:space="preserve">городского округа </w:t>
      </w:r>
      <w:r w:rsidRPr="00584472">
        <w:rPr>
          <w:bCs/>
          <w:sz w:val="28"/>
          <w:szCs w:val="28"/>
          <w:lang w:eastAsia="en-US"/>
        </w:rPr>
        <w:t>Тольятти граждан по ито</w:t>
      </w:r>
      <w:r w:rsidR="00963F7D">
        <w:rPr>
          <w:bCs/>
          <w:sz w:val="28"/>
          <w:szCs w:val="28"/>
          <w:lang w:eastAsia="en-US"/>
        </w:rPr>
        <w:t>гам 2021 года увеличилось на 5,1</w:t>
      </w:r>
      <w:r w:rsidRPr="00584472">
        <w:rPr>
          <w:bCs/>
          <w:sz w:val="28"/>
          <w:szCs w:val="28"/>
          <w:lang w:eastAsia="en-US"/>
        </w:rPr>
        <w:t xml:space="preserve"> тыс. человек к 2020 году. </w:t>
      </w:r>
    </w:p>
    <w:p w:rsidR="00014611" w:rsidRPr="00C023C1" w:rsidRDefault="00014611" w:rsidP="0024684D">
      <w:pPr>
        <w:pStyle w:val="aff0"/>
        <w:spacing w:line="276" w:lineRule="auto"/>
        <w:rPr>
          <w:bCs/>
          <w:szCs w:val="28"/>
          <w:lang w:eastAsia="en-US"/>
        </w:rPr>
      </w:pPr>
      <w:r w:rsidRPr="00C023C1">
        <w:rPr>
          <w:bCs/>
          <w:szCs w:val="28"/>
          <w:lang w:eastAsia="en-US"/>
        </w:rPr>
        <w:t>Около половины от численности занятых в экономике работает в организациях, не относящихся к малому предпринимательству (в 2021 году - 152,5 тыс. человек, в 2020 году – 153,0 тыс. человек).</w:t>
      </w:r>
    </w:p>
    <w:p w:rsidR="00320169" w:rsidRDefault="00014611" w:rsidP="0024684D">
      <w:pPr>
        <w:widowControl w:val="0"/>
        <w:numPr>
          <w:ilvl w:val="0"/>
          <w:numId w:val="5"/>
        </w:numPr>
        <w:suppressAutoHyphens w:val="0"/>
        <w:spacing w:line="276" w:lineRule="auto"/>
        <w:ind w:left="0" w:firstLine="709"/>
        <w:rPr>
          <w:sz w:val="28"/>
          <w:szCs w:val="28"/>
        </w:rPr>
      </w:pPr>
      <w:r w:rsidRPr="00F72557">
        <w:rPr>
          <w:sz w:val="28"/>
          <w:szCs w:val="28"/>
        </w:rPr>
        <w:t xml:space="preserve">По итогам </w:t>
      </w:r>
      <w:r w:rsidRPr="00F72557">
        <w:rPr>
          <w:sz w:val="28"/>
          <w:szCs w:val="28"/>
          <w:lang w:val="en-US"/>
        </w:rPr>
        <w:t>I</w:t>
      </w:r>
      <w:r w:rsidRPr="00F72557">
        <w:rPr>
          <w:sz w:val="28"/>
          <w:szCs w:val="28"/>
        </w:rPr>
        <w:t xml:space="preserve"> полугодия 2022 года среднесписочная численность работников организаций городского округа Тольятти, не относящихся к субъектам малого предпринимательства, по данным Самарастата, снизилась на </w:t>
      </w:r>
      <w:r w:rsidR="00AD79E5">
        <w:rPr>
          <w:sz w:val="28"/>
          <w:szCs w:val="28"/>
        </w:rPr>
        <w:t xml:space="preserve">3 тыс. человек (на </w:t>
      </w:r>
      <w:r w:rsidRPr="00F72557">
        <w:rPr>
          <w:sz w:val="28"/>
          <w:szCs w:val="28"/>
        </w:rPr>
        <w:t>1,9%</w:t>
      </w:r>
      <w:r w:rsidR="00AD79E5">
        <w:rPr>
          <w:sz w:val="28"/>
          <w:szCs w:val="28"/>
        </w:rPr>
        <w:t>)</w:t>
      </w:r>
      <w:r w:rsidRPr="00F72557">
        <w:rPr>
          <w:sz w:val="28"/>
          <w:szCs w:val="28"/>
        </w:rPr>
        <w:t xml:space="preserve"> и составила 149,5 тыс. человек. </w:t>
      </w:r>
      <w:r w:rsidR="00CA11C8" w:rsidRPr="00CA11C8">
        <w:rPr>
          <w:sz w:val="28"/>
          <w:szCs w:val="28"/>
        </w:rPr>
        <w:t xml:space="preserve">Наибольшее сокращение занятости наблюдалось в организациях, предоставляющих услуги: </w:t>
      </w:r>
      <w:r w:rsidRPr="00E07368">
        <w:rPr>
          <w:sz w:val="28"/>
          <w:szCs w:val="28"/>
        </w:rPr>
        <w:t xml:space="preserve"> </w:t>
      </w:r>
      <w:r w:rsidR="00320169" w:rsidRPr="00320169">
        <w:rPr>
          <w:sz w:val="28"/>
          <w:szCs w:val="28"/>
        </w:rPr>
        <w:t>в административной деятельности</w:t>
      </w:r>
      <w:r w:rsidR="00320169" w:rsidRPr="00E07368">
        <w:rPr>
          <w:sz w:val="28"/>
          <w:szCs w:val="28"/>
        </w:rPr>
        <w:t xml:space="preserve"> </w:t>
      </w:r>
      <w:r w:rsidR="00320169">
        <w:rPr>
          <w:sz w:val="28"/>
          <w:szCs w:val="28"/>
        </w:rPr>
        <w:t xml:space="preserve">- </w:t>
      </w:r>
      <w:r w:rsidRPr="00E07368">
        <w:rPr>
          <w:sz w:val="28"/>
          <w:szCs w:val="28"/>
        </w:rPr>
        <w:t>на 24,8% до 1,3 тыс. человек, в организациях культуры и спорта – на 24,2% до 1,9 тыс. человек</w:t>
      </w:r>
      <w:r>
        <w:rPr>
          <w:sz w:val="28"/>
          <w:szCs w:val="28"/>
        </w:rPr>
        <w:t xml:space="preserve">, по виду профессиональной, научной и технической деятельности – на 15,1% до 3,2 тыс. </w:t>
      </w:r>
      <w:r w:rsidR="00320169">
        <w:rPr>
          <w:sz w:val="28"/>
          <w:szCs w:val="28"/>
        </w:rPr>
        <w:t>человек</w:t>
      </w:r>
      <w:r>
        <w:rPr>
          <w:sz w:val="28"/>
          <w:szCs w:val="28"/>
        </w:rPr>
        <w:t>.</w:t>
      </w:r>
      <w:r w:rsidRPr="00E07368">
        <w:rPr>
          <w:sz w:val="28"/>
          <w:szCs w:val="28"/>
        </w:rPr>
        <w:t xml:space="preserve"> </w:t>
      </w:r>
    </w:p>
    <w:p w:rsidR="00014611" w:rsidRPr="00E07368" w:rsidRDefault="00CA11C8" w:rsidP="0024684D">
      <w:pPr>
        <w:widowControl w:val="0"/>
        <w:numPr>
          <w:ilvl w:val="0"/>
          <w:numId w:val="5"/>
        </w:numPr>
        <w:suppressAutoHyphens w:val="0"/>
        <w:spacing w:line="276" w:lineRule="auto"/>
        <w:ind w:left="0" w:firstLine="709"/>
        <w:rPr>
          <w:sz w:val="28"/>
          <w:szCs w:val="28"/>
        </w:rPr>
      </w:pPr>
      <w:r w:rsidRPr="00CA11C8">
        <w:rPr>
          <w:sz w:val="28"/>
          <w:szCs w:val="28"/>
        </w:rPr>
        <w:t xml:space="preserve">Среднесписочная численность работников промышленных предприятий в </w:t>
      </w:r>
      <w:r w:rsidR="003146DE">
        <w:rPr>
          <w:rFonts w:eastAsiaTheme="minorEastAsia"/>
          <w:sz w:val="28"/>
          <w:szCs w:val="28"/>
          <w:lang w:val="en-US" w:eastAsia="ru-RU"/>
        </w:rPr>
        <w:t>I</w:t>
      </w:r>
      <w:r w:rsidRPr="00CA11C8">
        <w:rPr>
          <w:sz w:val="28"/>
          <w:szCs w:val="28"/>
        </w:rPr>
        <w:t xml:space="preserve"> полугодии 2022 года практически не изменилась: в автомобилестроении снизилась на 0,2% (менее 100 человек), а в химической промышленности увеличилась на 0,4% (около 50 человек).</w:t>
      </w:r>
    </w:p>
    <w:p w:rsidR="00014611" w:rsidRPr="00BA753B" w:rsidRDefault="00014611" w:rsidP="0024684D">
      <w:pPr>
        <w:pStyle w:val="aff0"/>
        <w:spacing w:line="276" w:lineRule="auto"/>
        <w:rPr>
          <w:szCs w:val="28"/>
        </w:rPr>
      </w:pPr>
      <w:r w:rsidRPr="00724A56">
        <w:rPr>
          <w:szCs w:val="28"/>
        </w:rPr>
        <w:t xml:space="preserve">Количество внешних совместителей, а также работников, выполнявших работы </w:t>
      </w:r>
      <w:r w:rsidRPr="00BA753B">
        <w:rPr>
          <w:szCs w:val="28"/>
        </w:rPr>
        <w:t>по договорам гражданско-правового характера</w:t>
      </w:r>
      <w:r w:rsidR="00320169">
        <w:rPr>
          <w:szCs w:val="28"/>
        </w:rPr>
        <w:t>,</w:t>
      </w:r>
      <w:r w:rsidRPr="00BA753B">
        <w:rPr>
          <w:szCs w:val="28"/>
        </w:rPr>
        <w:t xml:space="preserve"> на крупных и средних организациях составило 699 человек.</w:t>
      </w:r>
    </w:p>
    <w:p w:rsidR="007D0EE8" w:rsidRPr="00BA753B" w:rsidRDefault="007D0EE8" w:rsidP="0024684D">
      <w:pPr>
        <w:widowControl w:val="0"/>
        <w:suppressAutoHyphens w:val="0"/>
        <w:spacing w:line="276" w:lineRule="auto"/>
        <w:rPr>
          <w:sz w:val="28"/>
          <w:szCs w:val="28"/>
          <w:lang w:eastAsia="en-US"/>
        </w:rPr>
      </w:pPr>
      <w:r w:rsidRPr="00BA753B">
        <w:rPr>
          <w:sz w:val="28"/>
          <w:szCs w:val="28"/>
          <w:lang w:eastAsia="en-US"/>
        </w:rPr>
        <w:t>Численность работников бюджетной сферы составила в 2021 году 45,5 тыс. человек</w:t>
      </w:r>
      <w:r w:rsidR="00320169">
        <w:rPr>
          <w:sz w:val="28"/>
          <w:szCs w:val="28"/>
          <w:lang w:eastAsia="en-US"/>
        </w:rPr>
        <w:t xml:space="preserve"> и</w:t>
      </w:r>
      <w:r w:rsidRPr="00BA753B">
        <w:rPr>
          <w:sz w:val="28"/>
          <w:szCs w:val="28"/>
          <w:lang w:eastAsia="en-US"/>
        </w:rPr>
        <w:t xml:space="preserve"> снизил</w:t>
      </w:r>
      <w:r w:rsidR="00320169">
        <w:rPr>
          <w:sz w:val="28"/>
          <w:szCs w:val="28"/>
          <w:lang w:eastAsia="en-US"/>
        </w:rPr>
        <w:t>а</w:t>
      </w:r>
      <w:r w:rsidRPr="00BA753B">
        <w:rPr>
          <w:sz w:val="28"/>
          <w:szCs w:val="28"/>
          <w:lang w:eastAsia="en-US"/>
        </w:rPr>
        <w:t xml:space="preserve">сь на 0,6 тыс. человек или 1,7% по сравнению </w:t>
      </w:r>
      <w:r w:rsidR="00320169">
        <w:rPr>
          <w:sz w:val="28"/>
          <w:szCs w:val="28"/>
          <w:lang w:eastAsia="en-US"/>
        </w:rPr>
        <w:t xml:space="preserve">с </w:t>
      </w:r>
      <w:r w:rsidRPr="00BA753B">
        <w:rPr>
          <w:sz w:val="28"/>
          <w:szCs w:val="28"/>
          <w:lang w:eastAsia="ru-RU"/>
        </w:rPr>
        <w:t>соответствующ</w:t>
      </w:r>
      <w:r w:rsidR="00320169">
        <w:rPr>
          <w:sz w:val="28"/>
          <w:szCs w:val="28"/>
          <w:lang w:eastAsia="ru-RU"/>
        </w:rPr>
        <w:t>им</w:t>
      </w:r>
      <w:r w:rsidRPr="00BA753B">
        <w:rPr>
          <w:sz w:val="28"/>
          <w:szCs w:val="28"/>
          <w:lang w:eastAsia="ru-RU"/>
        </w:rPr>
        <w:t xml:space="preserve"> период</w:t>
      </w:r>
      <w:r w:rsidR="00320169">
        <w:rPr>
          <w:sz w:val="28"/>
          <w:szCs w:val="28"/>
          <w:lang w:eastAsia="ru-RU"/>
        </w:rPr>
        <w:t>ом</w:t>
      </w:r>
      <w:r w:rsidRPr="00BA753B">
        <w:rPr>
          <w:sz w:val="28"/>
          <w:szCs w:val="28"/>
          <w:lang w:eastAsia="ru-RU"/>
        </w:rPr>
        <w:t xml:space="preserve"> предыдущего года</w:t>
      </w:r>
      <w:r w:rsidRPr="00BA753B">
        <w:rPr>
          <w:sz w:val="28"/>
          <w:szCs w:val="28"/>
          <w:lang w:eastAsia="en-US"/>
        </w:rPr>
        <w:t>.</w:t>
      </w:r>
    </w:p>
    <w:p w:rsidR="00741DC5" w:rsidRPr="00BA753B" w:rsidRDefault="00AD79E5" w:rsidP="0024684D">
      <w:pPr>
        <w:pStyle w:val="aff0"/>
        <w:spacing w:line="276" w:lineRule="auto"/>
        <w:rPr>
          <w:szCs w:val="28"/>
        </w:rPr>
      </w:pPr>
      <w:r w:rsidRPr="00BA753B">
        <w:rPr>
          <w:szCs w:val="28"/>
        </w:rPr>
        <w:t>С учетом снижения численности населения трудоспособного возраста</w:t>
      </w:r>
      <w:r w:rsidR="00F45DB9">
        <w:rPr>
          <w:szCs w:val="28"/>
        </w:rPr>
        <w:t xml:space="preserve">, </w:t>
      </w:r>
      <w:r w:rsidR="00A7640A" w:rsidRPr="00BA753B">
        <w:rPr>
          <w:szCs w:val="28"/>
        </w:rPr>
        <w:t xml:space="preserve"> </w:t>
      </w:r>
      <w:r w:rsidRPr="00BA753B">
        <w:rPr>
          <w:szCs w:val="28"/>
        </w:rPr>
        <w:t xml:space="preserve"> в</w:t>
      </w:r>
      <w:r w:rsidR="00CC3C9F" w:rsidRPr="00BA753B">
        <w:rPr>
          <w:szCs w:val="28"/>
        </w:rPr>
        <w:t xml:space="preserve"> 2022</w:t>
      </w:r>
      <w:r w:rsidR="00544F0B" w:rsidRPr="00BA753B">
        <w:rPr>
          <w:szCs w:val="28"/>
        </w:rPr>
        <w:t xml:space="preserve"> году ожидается </w:t>
      </w:r>
      <w:r w:rsidRPr="00BA753B">
        <w:rPr>
          <w:szCs w:val="28"/>
        </w:rPr>
        <w:t>сокращение</w:t>
      </w:r>
      <w:r w:rsidR="00CC3C9F" w:rsidRPr="00BA753B">
        <w:rPr>
          <w:szCs w:val="28"/>
        </w:rPr>
        <w:t xml:space="preserve"> </w:t>
      </w:r>
      <w:r w:rsidR="00544F0B" w:rsidRPr="00BA753B">
        <w:rPr>
          <w:szCs w:val="28"/>
        </w:rPr>
        <w:t xml:space="preserve">количества занятых </w:t>
      </w:r>
      <w:r w:rsidRPr="00BA753B">
        <w:rPr>
          <w:szCs w:val="28"/>
        </w:rPr>
        <w:t xml:space="preserve">на 3,3 тыс. человек </w:t>
      </w:r>
      <w:r w:rsidR="00CC3C9F" w:rsidRPr="00BA753B">
        <w:rPr>
          <w:szCs w:val="28"/>
        </w:rPr>
        <w:t>до 351,4</w:t>
      </w:r>
      <w:r w:rsidR="00741DC5" w:rsidRPr="00BA753B">
        <w:rPr>
          <w:szCs w:val="28"/>
        </w:rPr>
        <w:t xml:space="preserve"> тыс. человек </w:t>
      </w:r>
      <w:r w:rsidRPr="00BA753B">
        <w:rPr>
          <w:szCs w:val="28"/>
        </w:rPr>
        <w:t xml:space="preserve">за счет </w:t>
      </w:r>
      <w:r w:rsidR="00BA753B">
        <w:rPr>
          <w:szCs w:val="28"/>
        </w:rPr>
        <w:t xml:space="preserve">работников </w:t>
      </w:r>
      <w:r w:rsidRPr="00BA753B">
        <w:rPr>
          <w:szCs w:val="28"/>
        </w:rPr>
        <w:t>крупных и средних организаций</w:t>
      </w:r>
      <w:r w:rsidR="00741DC5" w:rsidRPr="00BA753B">
        <w:rPr>
          <w:szCs w:val="28"/>
        </w:rPr>
        <w:t>.</w:t>
      </w:r>
      <w:r w:rsidR="007A27D5" w:rsidRPr="00BA753B">
        <w:rPr>
          <w:szCs w:val="28"/>
        </w:rPr>
        <w:t xml:space="preserve"> </w:t>
      </w:r>
    </w:p>
    <w:p w:rsidR="00AC6CF4" w:rsidRPr="00C20A88" w:rsidRDefault="00AC6CF4" w:rsidP="0024684D">
      <w:pPr>
        <w:pStyle w:val="afb"/>
        <w:numPr>
          <w:ilvl w:val="0"/>
          <w:numId w:val="5"/>
        </w:numPr>
        <w:tabs>
          <w:tab w:val="clear" w:pos="0"/>
          <w:tab w:val="num" w:pos="432"/>
        </w:tabs>
        <w:suppressAutoHyphens w:val="0"/>
        <w:spacing w:line="276" w:lineRule="auto"/>
        <w:ind w:left="0" w:firstLine="709"/>
        <w:contextualSpacing/>
        <w:textAlignment w:val="top"/>
        <w:rPr>
          <w:sz w:val="28"/>
          <w:szCs w:val="28"/>
          <w:lang w:eastAsia="ru-RU"/>
        </w:rPr>
      </w:pPr>
      <w:r w:rsidRPr="00C20A88">
        <w:rPr>
          <w:sz w:val="28"/>
          <w:szCs w:val="28"/>
          <w:lang w:eastAsia="ru-RU"/>
        </w:rPr>
        <w:t>2. Учащиеся в трудоспособном возрасте, обучающиеся с отрывом от производства, по оценке, в 2021 году составили 34,2 тыс. человек. Значение данного показателя с 2019 года Самарастатом не предоставляется, оценивается администрацией городского округа Тольятти самостоятельно.  Численность данной категории растет за счет увеличения числа молодежи от 16 лет до 22 лет, входящей в состав показателя.</w:t>
      </w:r>
    </w:p>
    <w:p w:rsidR="00AC6CF4" w:rsidRPr="00890AA8" w:rsidRDefault="00AC6CF4" w:rsidP="0024684D">
      <w:pPr>
        <w:pStyle w:val="afb"/>
        <w:numPr>
          <w:ilvl w:val="0"/>
          <w:numId w:val="5"/>
        </w:numPr>
        <w:tabs>
          <w:tab w:val="clear" w:pos="0"/>
          <w:tab w:val="num" w:pos="432"/>
        </w:tabs>
        <w:suppressAutoHyphens w:val="0"/>
        <w:spacing w:line="276" w:lineRule="auto"/>
        <w:ind w:left="0" w:firstLine="709"/>
        <w:contextualSpacing/>
        <w:textAlignment w:val="top"/>
        <w:rPr>
          <w:sz w:val="28"/>
          <w:szCs w:val="28"/>
          <w:highlight w:val="yellow"/>
          <w:lang w:eastAsia="ru-RU"/>
        </w:rPr>
      </w:pPr>
      <w:r w:rsidRPr="00AD5F64">
        <w:rPr>
          <w:sz w:val="28"/>
          <w:szCs w:val="28"/>
          <w:lang w:eastAsia="ru-RU"/>
        </w:rPr>
        <w:t>3. Численность безработных граждан, зарегистрированных в службе заня</w:t>
      </w:r>
      <w:r>
        <w:rPr>
          <w:sz w:val="28"/>
          <w:szCs w:val="28"/>
          <w:lang w:eastAsia="ru-RU"/>
        </w:rPr>
        <w:t>тости населения в 2021</w:t>
      </w:r>
      <w:r w:rsidRPr="00AD5F64">
        <w:rPr>
          <w:sz w:val="28"/>
          <w:szCs w:val="28"/>
          <w:lang w:eastAsia="ru-RU"/>
        </w:rPr>
        <w:t xml:space="preserve"> году – 7,1 тыс. человек в среднегодовом значении (на конец 2021 года - 3,7 тыс. человек). </w:t>
      </w:r>
    </w:p>
    <w:p w:rsidR="00AC6CF4" w:rsidRPr="007B1695" w:rsidRDefault="00AC6CF4" w:rsidP="0024684D">
      <w:pPr>
        <w:spacing w:line="276" w:lineRule="auto"/>
        <w:rPr>
          <w:sz w:val="28"/>
          <w:szCs w:val="28"/>
          <w:lang w:eastAsia="ru-RU"/>
        </w:rPr>
      </w:pPr>
      <w:r w:rsidRPr="007B1695">
        <w:rPr>
          <w:sz w:val="28"/>
          <w:szCs w:val="28"/>
          <w:lang w:eastAsia="ru-RU"/>
        </w:rPr>
        <w:t xml:space="preserve">В результате проведения взвешенной политики занятости ситуация на рынке труда городского округа Тольятти в текущем году характеризуется последовательным снижением регистрируемой безработицы. </w:t>
      </w:r>
    </w:p>
    <w:p w:rsidR="00AC6CF4" w:rsidRPr="00890AA8" w:rsidRDefault="00AC6CF4" w:rsidP="0024684D">
      <w:pPr>
        <w:spacing w:line="276" w:lineRule="auto"/>
        <w:rPr>
          <w:sz w:val="28"/>
          <w:szCs w:val="28"/>
          <w:highlight w:val="yellow"/>
          <w:lang w:eastAsia="ru-RU"/>
        </w:rPr>
      </w:pPr>
      <w:r w:rsidRPr="00262FDE">
        <w:rPr>
          <w:sz w:val="28"/>
          <w:szCs w:val="28"/>
          <w:lang w:eastAsia="ru-RU"/>
        </w:rPr>
        <w:t xml:space="preserve">С начала 2022 года в ГКУ СО «Центр занятости населения городского округа Тольятти» (далее по разделу – Центр занятости) зарегистрировано в качестве активно ищущих работу – 7,8 тыс. </w:t>
      </w:r>
      <w:r w:rsidRPr="00024319">
        <w:rPr>
          <w:sz w:val="28"/>
          <w:szCs w:val="28"/>
          <w:lang w:eastAsia="ru-RU"/>
        </w:rPr>
        <w:t xml:space="preserve">человек, что в 1,3 раза меньше уровня показателя аналогичного периода прошлого года (10,5 тыс. человек).  </w:t>
      </w:r>
    </w:p>
    <w:p w:rsidR="00AC6CF4" w:rsidRPr="00890AA8" w:rsidRDefault="00AC6CF4" w:rsidP="0024684D">
      <w:pPr>
        <w:widowControl w:val="0"/>
        <w:spacing w:line="276" w:lineRule="auto"/>
        <w:rPr>
          <w:sz w:val="28"/>
          <w:szCs w:val="28"/>
          <w:highlight w:val="yellow"/>
          <w:lang w:eastAsia="ru-RU"/>
        </w:rPr>
      </w:pPr>
      <w:r w:rsidRPr="00FF2011">
        <w:rPr>
          <w:sz w:val="28"/>
          <w:szCs w:val="28"/>
          <w:lang w:eastAsia="ru-RU"/>
        </w:rPr>
        <w:t xml:space="preserve">На конец июня 2022 года уровень безработицы относительно показателя прошлого года уменьшился на 0,7 процентных пункта и составил 0,81%. Численность безработных граждан на 01.07.2022 составила 3197 </w:t>
      </w:r>
      <w:r w:rsidRPr="0009193F">
        <w:rPr>
          <w:sz w:val="28"/>
          <w:szCs w:val="28"/>
          <w:lang w:eastAsia="ru-RU"/>
        </w:rPr>
        <w:t>человека</w:t>
      </w:r>
      <w:r w:rsidR="0009193F" w:rsidRPr="0009193F">
        <w:rPr>
          <w:sz w:val="28"/>
          <w:szCs w:val="28"/>
          <w:lang w:eastAsia="ru-RU"/>
        </w:rPr>
        <w:t xml:space="preserve"> (по состоянию на 01.10.2022 – 3110 человек)</w:t>
      </w:r>
      <w:r w:rsidR="00F45DB9" w:rsidRPr="0009193F">
        <w:rPr>
          <w:sz w:val="28"/>
          <w:szCs w:val="28"/>
          <w:lang w:eastAsia="ru-RU"/>
        </w:rPr>
        <w:t>,</w:t>
      </w:r>
      <w:r w:rsidRPr="00FF2011">
        <w:rPr>
          <w:sz w:val="28"/>
          <w:szCs w:val="28"/>
          <w:lang w:eastAsia="ru-RU"/>
        </w:rPr>
        <w:t xml:space="preserve"> что в 1,8 раза меньше показателя на 01.07.2021 (5867 человек).</w:t>
      </w:r>
      <w:r>
        <w:rPr>
          <w:sz w:val="28"/>
          <w:szCs w:val="28"/>
          <w:lang w:eastAsia="ru-RU"/>
        </w:rPr>
        <w:t xml:space="preserve"> </w:t>
      </w:r>
      <w:r w:rsidRPr="00FF2011">
        <w:rPr>
          <w:sz w:val="28"/>
          <w:szCs w:val="28"/>
          <w:lang w:eastAsia="ru-RU"/>
        </w:rPr>
        <w:t xml:space="preserve"> </w:t>
      </w:r>
    </w:p>
    <w:p w:rsidR="00AC6CF4" w:rsidRPr="003A6D0A" w:rsidRDefault="00AC6CF4" w:rsidP="0024684D">
      <w:pPr>
        <w:widowControl w:val="0"/>
        <w:spacing w:line="276" w:lineRule="auto"/>
        <w:rPr>
          <w:sz w:val="28"/>
          <w:szCs w:val="28"/>
          <w:lang w:eastAsia="ru-RU"/>
        </w:rPr>
      </w:pPr>
      <w:r w:rsidRPr="00EC0C4E">
        <w:rPr>
          <w:sz w:val="28"/>
          <w:szCs w:val="28"/>
          <w:lang w:eastAsia="ru-RU"/>
        </w:rPr>
        <w:t xml:space="preserve">Состав безработных, зарегистрированных в </w:t>
      </w:r>
      <w:r w:rsidRPr="00EC0C4E">
        <w:rPr>
          <w:sz w:val="28"/>
          <w:szCs w:val="28"/>
          <w:lang w:val="en-US" w:eastAsia="ru-RU"/>
        </w:rPr>
        <w:t>I</w:t>
      </w:r>
      <w:r w:rsidRPr="00EC0C4E">
        <w:rPr>
          <w:sz w:val="28"/>
          <w:szCs w:val="28"/>
          <w:lang w:eastAsia="ru-RU"/>
        </w:rPr>
        <w:t xml:space="preserve"> полугодии 2022 года, </w:t>
      </w:r>
      <w:r w:rsidRPr="003A6D0A">
        <w:rPr>
          <w:sz w:val="28"/>
          <w:szCs w:val="28"/>
          <w:lang w:eastAsia="ru-RU"/>
        </w:rPr>
        <w:t>выглядит следующим образом:</w:t>
      </w:r>
    </w:p>
    <w:p w:rsidR="00AC6CF4" w:rsidRPr="003A6D0A"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3A6D0A">
        <w:rPr>
          <w:sz w:val="28"/>
          <w:szCs w:val="28"/>
          <w:lang w:eastAsia="ru-RU"/>
        </w:rPr>
        <w:t>1. Ранее не работали - 2,0% от общего числа безработных</w:t>
      </w:r>
      <w:r w:rsidR="00F45DB9">
        <w:rPr>
          <w:sz w:val="28"/>
          <w:szCs w:val="28"/>
          <w:lang w:eastAsia="ru-RU"/>
        </w:rPr>
        <w:t>.</w:t>
      </w:r>
      <w:r w:rsidRPr="003A6D0A">
        <w:rPr>
          <w:sz w:val="28"/>
          <w:szCs w:val="28"/>
          <w:lang w:eastAsia="ru-RU"/>
        </w:rPr>
        <w:t xml:space="preserve"> </w:t>
      </w:r>
    </w:p>
    <w:p w:rsidR="00AC6CF4" w:rsidRPr="00EA07A0"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EA07A0">
        <w:rPr>
          <w:sz w:val="28"/>
          <w:szCs w:val="28"/>
          <w:lang w:eastAsia="ru-RU"/>
        </w:rPr>
        <w:t>2. Были заняты в экономике – 98,0%, в том числе:</w:t>
      </w:r>
    </w:p>
    <w:p w:rsidR="00AC6CF4" w:rsidRPr="00C10A17"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DD1A7F">
        <w:rPr>
          <w:sz w:val="28"/>
          <w:szCs w:val="28"/>
          <w:lang w:eastAsia="ru-RU"/>
        </w:rPr>
        <w:t xml:space="preserve">- уволенные по собственному желанию – 2,7 тыс. человек (70,8% от данной категории безработных), в аналогичном периоде прошлого года – 5,8 тыс. </w:t>
      </w:r>
      <w:r w:rsidRPr="00C10A17">
        <w:rPr>
          <w:sz w:val="28"/>
          <w:szCs w:val="28"/>
          <w:lang w:eastAsia="ru-RU"/>
        </w:rPr>
        <w:t>человек;</w:t>
      </w:r>
    </w:p>
    <w:p w:rsidR="00AC6CF4" w:rsidRPr="00C10A17"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C10A17">
        <w:rPr>
          <w:sz w:val="28"/>
          <w:szCs w:val="28"/>
          <w:lang w:eastAsia="ru-RU"/>
        </w:rPr>
        <w:t>- уволенные по соглашению сторон – 0,8 тыс. человек (21,3%), в аналогичном периоде прошлого года 1,5 тыс. человек;</w:t>
      </w:r>
    </w:p>
    <w:p w:rsidR="00AC6CF4" w:rsidRPr="00F16B6C"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F16B6C">
        <w:rPr>
          <w:sz w:val="28"/>
          <w:szCs w:val="28"/>
          <w:lang w:eastAsia="ru-RU"/>
        </w:rPr>
        <w:t xml:space="preserve">- прочие причины – 0,3 тыс. человек (7,9%), в аналогичном периоде прошлого года </w:t>
      </w:r>
      <w:r>
        <w:rPr>
          <w:sz w:val="28"/>
          <w:szCs w:val="28"/>
          <w:lang w:eastAsia="ru-RU"/>
        </w:rPr>
        <w:t>0,7</w:t>
      </w:r>
      <w:r w:rsidRPr="00F16B6C">
        <w:rPr>
          <w:sz w:val="28"/>
          <w:szCs w:val="28"/>
          <w:lang w:eastAsia="ru-RU"/>
        </w:rPr>
        <w:t xml:space="preserve"> тыс. человек.</w:t>
      </w:r>
    </w:p>
    <w:p w:rsidR="00AC6CF4" w:rsidRPr="00370627"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3B3F43">
        <w:rPr>
          <w:sz w:val="28"/>
          <w:szCs w:val="28"/>
          <w:lang w:eastAsia="ru-RU"/>
        </w:rPr>
        <w:t>На 01.07.2022 в Центре занятости было зарегистрировано 8,3 тыс. вакансий, что на 29,9% меньше аналогичного показателя предыдущего года (на 01.07.</w:t>
      </w:r>
      <w:r w:rsidRPr="00370627">
        <w:rPr>
          <w:sz w:val="28"/>
          <w:szCs w:val="28"/>
          <w:lang w:eastAsia="ru-RU"/>
        </w:rPr>
        <w:t>202</w:t>
      </w:r>
      <w:r>
        <w:rPr>
          <w:sz w:val="28"/>
          <w:szCs w:val="28"/>
          <w:lang w:eastAsia="ru-RU"/>
        </w:rPr>
        <w:t>1</w:t>
      </w:r>
      <w:r w:rsidRPr="00370627">
        <w:rPr>
          <w:sz w:val="28"/>
          <w:szCs w:val="28"/>
          <w:lang w:eastAsia="ru-RU"/>
        </w:rPr>
        <w:t xml:space="preserve"> – 11,8 тыс. вакансий), в том числе для рабочих –</w:t>
      </w:r>
      <w:r>
        <w:rPr>
          <w:sz w:val="28"/>
          <w:szCs w:val="28"/>
          <w:lang w:eastAsia="ru-RU"/>
        </w:rPr>
        <w:t xml:space="preserve"> 4,7</w:t>
      </w:r>
      <w:r w:rsidRPr="00370627">
        <w:rPr>
          <w:sz w:val="28"/>
          <w:szCs w:val="28"/>
          <w:lang w:eastAsia="ru-RU"/>
        </w:rPr>
        <w:t xml:space="preserve"> тыс. вакансий (57,1%), для специалистов и служащих – 3,</w:t>
      </w:r>
      <w:r>
        <w:rPr>
          <w:sz w:val="28"/>
          <w:szCs w:val="28"/>
          <w:lang w:eastAsia="ru-RU"/>
        </w:rPr>
        <w:t>5</w:t>
      </w:r>
      <w:r w:rsidRPr="00370627">
        <w:rPr>
          <w:sz w:val="28"/>
          <w:szCs w:val="28"/>
          <w:lang w:eastAsia="ru-RU"/>
        </w:rPr>
        <w:t xml:space="preserve"> тыс. вакансий (42,9%).</w:t>
      </w:r>
    </w:p>
    <w:p w:rsidR="00AC6CF4" w:rsidRPr="00AA0EAC"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AA0EAC">
        <w:rPr>
          <w:sz w:val="28"/>
          <w:szCs w:val="28"/>
          <w:lang w:eastAsia="ru-RU"/>
        </w:rPr>
        <w:t>Коэффициент напряженности на рынке труда составил 0,5 незанятых на одно свободное рабочее место (на 01.07.2021 – 0,5), в том числе: 0,4 среди рабочих, 0,5 – среди служащих.</w:t>
      </w:r>
    </w:p>
    <w:p w:rsidR="00AC6CF4" w:rsidRPr="00612CC8" w:rsidRDefault="00AC6CF4" w:rsidP="0024684D">
      <w:pPr>
        <w:pStyle w:val="afb"/>
        <w:numPr>
          <w:ilvl w:val="0"/>
          <w:numId w:val="5"/>
        </w:numPr>
        <w:suppressAutoHyphens w:val="0"/>
        <w:spacing w:line="276" w:lineRule="auto"/>
        <w:ind w:left="0" w:firstLine="709"/>
        <w:contextualSpacing/>
        <w:textAlignment w:val="top"/>
        <w:rPr>
          <w:sz w:val="28"/>
          <w:szCs w:val="28"/>
          <w:lang w:eastAsia="ru-RU"/>
        </w:rPr>
      </w:pPr>
      <w:r w:rsidRPr="001A62DE">
        <w:rPr>
          <w:sz w:val="28"/>
          <w:szCs w:val="28"/>
          <w:lang w:eastAsia="ru-RU"/>
        </w:rPr>
        <w:t xml:space="preserve">Основными заказчиками рабочей силы выступают предприятия </w:t>
      </w:r>
      <w:r w:rsidRPr="00940DDE">
        <w:rPr>
          <w:sz w:val="28"/>
          <w:szCs w:val="28"/>
          <w:lang w:eastAsia="ru-RU"/>
        </w:rPr>
        <w:t>обрабатывающих производств (1,245 тыс. вакансий, 15,6%), образования (1,219 тыс. вакансий, 15,3</w:t>
      </w:r>
      <w:r w:rsidRPr="00554CBA">
        <w:rPr>
          <w:sz w:val="28"/>
          <w:szCs w:val="28"/>
          <w:lang w:eastAsia="ru-RU"/>
        </w:rPr>
        <w:t xml:space="preserve">%), деятельность в области здравоохранения и </w:t>
      </w:r>
      <w:r w:rsidRPr="00612CC8">
        <w:rPr>
          <w:sz w:val="28"/>
          <w:szCs w:val="28"/>
          <w:lang w:eastAsia="ru-RU"/>
        </w:rPr>
        <w:t>социальных услуг (1,041 тыс. вакансий, 13,0%).</w:t>
      </w:r>
    </w:p>
    <w:p w:rsidR="00AC6CF4" w:rsidRPr="00BD5A3F" w:rsidRDefault="00AC6CF4" w:rsidP="0024684D">
      <w:pPr>
        <w:pStyle w:val="afb"/>
        <w:numPr>
          <w:ilvl w:val="0"/>
          <w:numId w:val="5"/>
        </w:numPr>
        <w:suppressAutoHyphens w:val="0"/>
        <w:spacing w:line="276" w:lineRule="auto"/>
        <w:ind w:left="0" w:firstLine="709"/>
        <w:contextualSpacing/>
        <w:textAlignment w:val="top"/>
        <w:rPr>
          <w:sz w:val="28"/>
          <w:szCs w:val="28"/>
          <w:highlight w:val="yellow"/>
          <w:lang w:eastAsia="ru-RU"/>
        </w:rPr>
      </w:pPr>
      <w:r w:rsidRPr="00BD5A3F">
        <w:rPr>
          <w:sz w:val="28"/>
          <w:szCs w:val="28"/>
          <w:lang w:eastAsia="ru-RU"/>
        </w:rPr>
        <w:t xml:space="preserve">В общей потребности в кадрах спрос на рабочих относительно показателя предыдущего года уменьшился на 13 процентных пункта и составил 56,8%. Наибольшую долю потребности среди рабочих – вакансии предприятий обрабатывающих производств (19,2%), среди служащих - вакансии в области здравоохранения и социальных услуг – (26,6%), в  </w:t>
      </w:r>
      <w:r w:rsidR="00927F3D">
        <w:rPr>
          <w:sz w:val="28"/>
          <w:szCs w:val="28"/>
          <w:lang w:eastAsia="ru-RU"/>
        </w:rPr>
        <w:t>о</w:t>
      </w:r>
      <w:r w:rsidRPr="00BD5A3F">
        <w:rPr>
          <w:sz w:val="28"/>
          <w:szCs w:val="28"/>
          <w:lang w:eastAsia="ru-RU"/>
        </w:rPr>
        <w:t>бласти информации и связи (16,7</w:t>
      </w:r>
      <w:r>
        <w:rPr>
          <w:sz w:val="28"/>
          <w:szCs w:val="28"/>
          <w:lang w:eastAsia="ru-RU"/>
        </w:rPr>
        <w:t>%).</w:t>
      </w:r>
    </w:p>
    <w:p w:rsidR="009A5634" w:rsidRPr="00890AA8" w:rsidRDefault="00CA11C8" w:rsidP="0024684D">
      <w:pPr>
        <w:pStyle w:val="afb"/>
        <w:widowControl w:val="0"/>
        <w:numPr>
          <w:ilvl w:val="0"/>
          <w:numId w:val="5"/>
        </w:numPr>
        <w:suppressAutoHyphens w:val="0"/>
        <w:spacing w:line="276" w:lineRule="auto"/>
        <w:ind w:left="0" w:firstLine="709"/>
        <w:contextualSpacing/>
        <w:textAlignment w:val="top"/>
        <w:rPr>
          <w:szCs w:val="28"/>
          <w:highlight w:val="yellow"/>
          <w:lang w:eastAsia="ru-RU"/>
        </w:rPr>
      </w:pPr>
      <w:r w:rsidRPr="00434DE8">
        <w:rPr>
          <w:sz w:val="28"/>
          <w:szCs w:val="28"/>
          <w:lang w:eastAsia="ru-RU"/>
        </w:rPr>
        <w:t>П</w:t>
      </w:r>
      <w:r w:rsidR="009A5634" w:rsidRPr="00434DE8">
        <w:rPr>
          <w:sz w:val="28"/>
          <w:szCs w:val="28"/>
          <w:lang w:eastAsia="ru-RU"/>
        </w:rPr>
        <w:t>о данным Тольяттинского управления министерства образования и науки Самарской области количество выпускников учреждений среднего образова</w:t>
      </w:r>
      <w:r w:rsidR="00434DE8">
        <w:rPr>
          <w:sz w:val="28"/>
          <w:szCs w:val="28"/>
          <w:lang w:eastAsia="ru-RU"/>
        </w:rPr>
        <w:t xml:space="preserve">ния городского </w:t>
      </w:r>
      <w:r w:rsidR="00434DE8" w:rsidRPr="0055127A">
        <w:rPr>
          <w:sz w:val="28"/>
          <w:szCs w:val="28"/>
          <w:lang w:eastAsia="ru-RU"/>
        </w:rPr>
        <w:t xml:space="preserve">округа Тольятти </w:t>
      </w:r>
      <w:r w:rsidR="00FF1A79" w:rsidRPr="0055127A">
        <w:rPr>
          <w:sz w:val="28"/>
          <w:szCs w:val="28"/>
          <w:lang w:eastAsia="ru-RU"/>
        </w:rPr>
        <w:t xml:space="preserve">в </w:t>
      </w:r>
      <w:r w:rsidR="009A5634" w:rsidRPr="0055127A">
        <w:rPr>
          <w:sz w:val="28"/>
          <w:szCs w:val="28"/>
          <w:lang w:eastAsia="ru-RU"/>
        </w:rPr>
        <w:t>202</w:t>
      </w:r>
      <w:r w:rsidR="00434DE8" w:rsidRPr="0055127A">
        <w:rPr>
          <w:sz w:val="28"/>
          <w:szCs w:val="28"/>
          <w:lang w:eastAsia="ru-RU"/>
        </w:rPr>
        <w:t>2</w:t>
      </w:r>
      <w:r w:rsidR="009A5634" w:rsidRPr="0055127A">
        <w:rPr>
          <w:sz w:val="28"/>
          <w:szCs w:val="28"/>
          <w:lang w:eastAsia="ru-RU"/>
        </w:rPr>
        <w:t xml:space="preserve"> году составило </w:t>
      </w:r>
      <w:r w:rsidR="00124A87" w:rsidRPr="0055127A">
        <w:rPr>
          <w:sz w:val="28"/>
          <w:szCs w:val="28"/>
          <w:lang w:eastAsia="ru-RU"/>
        </w:rPr>
        <w:t>– 4</w:t>
      </w:r>
      <w:r w:rsidR="00017B02" w:rsidRPr="0055127A">
        <w:rPr>
          <w:sz w:val="28"/>
          <w:szCs w:val="28"/>
          <w:lang w:eastAsia="ru-RU"/>
        </w:rPr>
        <w:t> 122 </w:t>
      </w:r>
      <w:r w:rsidR="00D229F0" w:rsidRPr="0055127A">
        <w:rPr>
          <w:sz w:val="28"/>
          <w:szCs w:val="28"/>
          <w:lang w:eastAsia="ru-RU"/>
        </w:rPr>
        <w:t>человек</w:t>
      </w:r>
      <w:r w:rsidR="00124A87" w:rsidRPr="0055127A">
        <w:rPr>
          <w:sz w:val="28"/>
          <w:szCs w:val="28"/>
          <w:lang w:eastAsia="ru-RU"/>
        </w:rPr>
        <w:t>а</w:t>
      </w:r>
      <w:r w:rsidR="00D229F0" w:rsidRPr="0055127A">
        <w:rPr>
          <w:sz w:val="28"/>
          <w:szCs w:val="28"/>
          <w:lang w:eastAsia="ru-RU"/>
        </w:rPr>
        <w:t xml:space="preserve"> (в 202</w:t>
      </w:r>
      <w:r w:rsidR="00434DE8" w:rsidRPr="0055127A">
        <w:rPr>
          <w:sz w:val="28"/>
          <w:szCs w:val="28"/>
          <w:lang w:eastAsia="ru-RU"/>
        </w:rPr>
        <w:t>1</w:t>
      </w:r>
      <w:r w:rsidR="00D229F0" w:rsidRPr="0055127A">
        <w:rPr>
          <w:sz w:val="28"/>
          <w:szCs w:val="28"/>
          <w:lang w:eastAsia="ru-RU"/>
        </w:rPr>
        <w:t xml:space="preserve"> году – </w:t>
      </w:r>
      <w:r w:rsidR="00434DE8" w:rsidRPr="0055127A">
        <w:rPr>
          <w:sz w:val="28"/>
          <w:szCs w:val="28"/>
          <w:lang w:eastAsia="ru-RU"/>
        </w:rPr>
        <w:t>3</w:t>
      </w:r>
      <w:r w:rsidR="002055C1">
        <w:rPr>
          <w:sz w:val="28"/>
          <w:szCs w:val="28"/>
          <w:lang w:eastAsia="ru-RU"/>
        </w:rPr>
        <w:t xml:space="preserve"> </w:t>
      </w:r>
      <w:r w:rsidR="00434DE8" w:rsidRPr="0055127A">
        <w:rPr>
          <w:sz w:val="28"/>
          <w:szCs w:val="28"/>
          <w:lang w:eastAsia="ru-RU"/>
        </w:rPr>
        <w:t xml:space="preserve">749 </w:t>
      </w:r>
      <w:r w:rsidR="00D229F0" w:rsidRPr="0055127A">
        <w:rPr>
          <w:sz w:val="28"/>
          <w:szCs w:val="28"/>
          <w:lang w:eastAsia="ru-RU"/>
        </w:rPr>
        <w:t xml:space="preserve">выпускников), из них трудоустроено на предприятия городского округа Тольятти </w:t>
      </w:r>
      <w:r w:rsidR="00124A87" w:rsidRPr="0055127A">
        <w:rPr>
          <w:sz w:val="28"/>
          <w:szCs w:val="28"/>
          <w:lang w:eastAsia="ru-RU"/>
        </w:rPr>
        <w:t>–</w:t>
      </w:r>
      <w:r w:rsidR="00434DE8" w:rsidRPr="0055127A">
        <w:rPr>
          <w:sz w:val="28"/>
          <w:szCs w:val="28"/>
          <w:lang w:eastAsia="ru-RU"/>
        </w:rPr>
        <w:t xml:space="preserve"> </w:t>
      </w:r>
      <w:r w:rsidR="00124A87" w:rsidRPr="0055127A">
        <w:rPr>
          <w:sz w:val="28"/>
          <w:szCs w:val="28"/>
          <w:lang w:eastAsia="ru-RU"/>
        </w:rPr>
        <w:t>1</w:t>
      </w:r>
      <w:r w:rsidR="00017B02" w:rsidRPr="0055127A">
        <w:rPr>
          <w:sz w:val="28"/>
          <w:szCs w:val="28"/>
          <w:lang w:eastAsia="ru-RU"/>
        </w:rPr>
        <w:t> </w:t>
      </w:r>
      <w:r w:rsidR="00124A87" w:rsidRPr="0055127A">
        <w:rPr>
          <w:sz w:val="28"/>
          <w:szCs w:val="28"/>
          <w:lang w:eastAsia="ru-RU"/>
        </w:rPr>
        <w:t>843</w:t>
      </w:r>
      <w:r w:rsidR="00017B02" w:rsidRPr="0055127A">
        <w:rPr>
          <w:sz w:val="28"/>
          <w:szCs w:val="28"/>
          <w:lang w:eastAsia="ru-RU"/>
        </w:rPr>
        <w:t xml:space="preserve"> </w:t>
      </w:r>
      <w:r w:rsidR="009A5634" w:rsidRPr="0055127A">
        <w:rPr>
          <w:sz w:val="28"/>
          <w:szCs w:val="28"/>
          <w:lang w:eastAsia="ru-RU"/>
        </w:rPr>
        <w:t>человека (в 202</w:t>
      </w:r>
      <w:r w:rsidR="00434DE8" w:rsidRPr="0055127A">
        <w:rPr>
          <w:sz w:val="28"/>
          <w:szCs w:val="28"/>
          <w:lang w:eastAsia="ru-RU"/>
        </w:rPr>
        <w:t>1</w:t>
      </w:r>
      <w:r w:rsidR="009A5634" w:rsidRPr="0055127A">
        <w:rPr>
          <w:sz w:val="28"/>
          <w:szCs w:val="28"/>
          <w:lang w:eastAsia="ru-RU"/>
        </w:rPr>
        <w:t xml:space="preserve"> году – </w:t>
      </w:r>
      <w:r w:rsidR="00434DE8" w:rsidRPr="0055127A">
        <w:rPr>
          <w:sz w:val="28"/>
          <w:szCs w:val="28"/>
          <w:lang w:eastAsia="ru-RU"/>
        </w:rPr>
        <w:t>1</w:t>
      </w:r>
      <w:r w:rsidR="00017B02" w:rsidRPr="0055127A">
        <w:rPr>
          <w:sz w:val="28"/>
          <w:szCs w:val="28"/>
          <w:lang w:eastAsia="ru-RU"/>
        </w:rPr>
        <w:t> </w:t>
      </w:r>
      <w:r w:rsidR="00434DE8" w:rsidRPr="0055127A">
        <w:rPr>
          <w:sz w:val="28"/>
          <w:szCs w:val="28"/>
          <w:lang w:eastAsia="ru-RU"/>
        </w:rPr>
        <w:t xml:space="preserve">962 </w:t>
      </w:r>
      <w:r w:rsidR="009A5634" w:rsidRPr="0055127A">
        <w:rPr>
          <w:sz w:val="28"/>
          <w:szCs w:val="28"/>
          <w:lang w:eastAsia="ru-RU"/>
        </w:rPr>
        <w:t xml:space="preserve">человек), что составило </w:t>
      </w:r>
      <w:r w:rsidR="0055127A" w:rsidRPr="0055127A">
        <w:rPr>
          <w:sz w:val="28"/>
          <w:szCs w:val="28"/>
          <w:lang w:eastAsia="ru-RU"/>
        </w:rPr>
        <w:t>44,7</w:t>
      </w:r>
      <w:r w:rsidR="009A5634" w:rsidRPr="0055127A">
        <w:rPr>
          <w:sz w:val="28"/>
          <w:szCs w:val="28"/>
          <w:lang w:eastAsia="ru-RU"/>
        </w:rPr>
        <w:t xml:space="preserve">% от общего числа выпускников. </w:t>
      </w:r>
    </w:p>
    <w:p w:rsidR="006B0801" w:rsidRPr="00FA2557" w:rsidRDefault="006B0801" w:rsidP="0024684D">
      <w:pPr>
        <w:pStyle w:val="afb"/>
        <w:numPr>
          <w:ilvl w:val="0"/>
          <w:numId w:val="5"/>
        </w:numPr>
        <w:suppressAutoHyphens w:val="0"/>
        <w:spacing w:line="276" w:lineRule="auto"/>
        <w:ind w:left="0" w:firstLine="709"/>
        <w:contextualSpacing/>
        <w:textAlignment w:val="top"/>
        <w:rPr>
          <w:sz w:val="28"/>
          <w:szCs w:val="28"/>
          <w:lang w:eastAsia="ru-RU"/>
        </w:rPr>
      </w:pPr>
      <w:r w:rsidRPr="00AE08FE">
        <w:rPr>
          <w:sz w:val="28"/>
          <w:szCs w:val="28"/>
          <w:lang w:eastAsia="ru-RU"/>
        </w:rPr>
        <w:t xml:space="preserve">По сведениям Центра занятости по итогам отчетного периода по полному кругу предприятий, было высвобождено по причине сокращения </w:t>
      </w:r>
      <w:r w:rsidRPr="00FA2557">
        <w:rPr>
          <w:sz w:val="28"/>
          <w:szCs w:val="28"/>
          <w:lang w:eastAsia="ru-RU"/>
        </w:rPr>
        <w:t xml:space="preserve">штатов 259 человек (65 предприятий), что на 19,4% больше показателя за </w:t>
      </w:r>
      <w:r w:rsidRPr="00FA2557">
        <w:rPr>
          <w:sz w:val="28"/>
          <w:szCs w:val="28"/>
          <w:lang w:val="en-US" w:eastAsia="ru-RU"/>
        </w:rPr>
        <w:t>I</w:t>
      </w:r>
      <w:r w:rsidRPr="00FA2557">
        <w:rPr>
          <w:sz w:val="28"/>
          <w:szCs w:val="28"/>
          <w:lang w:eastAsia="ru-RU"/>
        </w:rPr>
        <w:t xml:space="preserve"> полугодие 2021 года (217 человек с 75 предприятий). </w:t>
      </w:r>
    </w:p>
    <w:p w:rsidR="00CA11C8" w:rsidRPr="00CA11C8" w:rsidRDefault="00324464" w:rsidP="0024684D">
      <w:pPr>
        <w:pStyle w:val="aff0"/>
        <w:numPr>
          <w:ilvl w:val="0"/>
          <w:numId w:val="5"/>
        </w:numPr>
        <w:spacing w:line="276" w:lineRule="auto"/>
        <w:ind w:left="0" w:firstLine="709"/>
        <w:rPr>
          <w:szCs w:val="24"/>
        </w:rPr>
      </w:pPr>
      <w:r w:rsidRPr="00324464">
        <w:rPr>
          <w:szCs w:val="28"/>
          <w:lang w:eastAsia="ar-SA"/>
        </w:rPr>
        <w:t xml:space="preserve">В условиях </w:t>
      </w:r>
      <w:r>
        <w:rPr>
          <w:szCs w:val="28"/>
          <w:lang w:eastAsia="ar-SA"/>
        </w:rPr>
        <w:t xml:space="preserve">частичной загрузки предприятий в </w:t>
      </w:r>
      <w:r w:rsidR="003146DE">
        <w:rPr>
          <w:rFonts w:eastAsiaTheme="minorEastAsia"/>
          <w:szCs w:val="28"/>
          <w:lang w:val="en-US" w:eastAsia="ru-RU"/>
        </w:rPr>
        <w:t>I</w:t>
      </w:r>
      <w:r>
        <w:rPr>
          <w:szCs w:val="28"/>
          <w:lang w:eastAsia="ar-SA"/>
        </w:rPr>
        <w:t xml:space="preserve"> полугодии 2022 года существенно выросли масштабы неполной занятости.</w:t>
      </w:r>
    </w:p>
    <w:p w:rsidR="006B0801" w:rsidRPr="00894E01" w:rsidRDefault="006B0801" w:rsidP="0024684D">
      <w:pPr>
        <w:pStyle w:val="aff0"/>
        <w:numPr>
          <w:ilvl w:val="0"/>
          <w:numId w:val="5"/>
        </w:numPr>
        <w:spacing w:line="276" w:lineRule="auto"/>
        <w:ind w:left="0" w:firstLine="709"/>
        <w:rPr>
          <w:szCs w:val="24"/>
        </w:rPr>
      </w:pPr>
      <w:r w:rsidRPr="00DB2630">
        <w:rPr>
          <w:rFonts w:eastAsia="Calibri"/>
          <w:szCs w:val="24"/>
          <w:lang w:eastAsia="ru-RU"/>
        </w:rPr>
        <w:t>По состоянию на 01.07.2022 130 предприятия работали в режиме неполного рабочего времени, временной приостановки работы (простое). На 01.07.2022 9356 работников были заняты неполный рабочий день, 13196 работников находились в простое, 102 человек в отпусках без сохранения заработной платы (на 01.07.2021 – 137 человек, 461 человек и 74 человек соответственно).</w:t>
      </w:r>
    </w:p>
    <w:p w:rsidR="006B0801" w:rsidRPr="00E96F27" w:rsidRDefault="00324464" w:rsidP="0024684D">
      <w:pPr>
        <w:pStyle w:val="afb"/>
        <w:numPr>
          <w:ilvl w:val="0"/>
          <w:numId w:val="5"/>
        </w:numPr>
        <w:spacing w:line="276" w:lineRule="auto"/>
        <w:ind w:left="0" w:firstLine="709"/>
        <w:rPr>
          <w:rFonts w:eastAsia="Calibri"/>
          <w:sz w:val="28"/>
          <w:szCs w:val="28"/>
          <w:highlight w:val="yellow"/>
          <w:lang w:eastAsia="ru-RU"/>
        </w:rPr>
      </w:pPr>
      <w:r>
        <w:rPr>
          <w:rFonts w:eastAsia="Calibri"/>
          <w:sz w:val="28"/>
          <w:szCs w:val="28"/>
          <w:lang w:eastAsia="ru-RU"/>
        </w:rPr>
        <w:t>Во втором полугодии 2022 года м</w:t>
      </w:r>
      <w:r w:rsidR="006B0801" w:rsidRPr="00894E01">
        <w:rPr>
          <w:rFonts w:eastAsia="Calibri"/>
          <w:sz w:val="28"/>
          <w:szCs w:val="28"/>
          <w:lang w:eastAsia="ru-RU"/>
        </w:rPr>
        <w:t xml:space="preserve">асштабы неполной занятости постепенно снижаются. По состоянию на </w:t>
      </w:r>
      <w:r w:rsidR="00E96F27">
        <w:rPr>
          <w:rFonts w:eastAsia="Calibri"/>
          <w:sz w:val="28"/>
          <w:szCs w:val="28"/>
          <w:lang w:eastAsia="ru-RU"/>
        </w:rPr>
        <w:t>01</w:t>
      </w:r>
      <w:r w:rsidR="006B0801">
        <w:rPr>
          <w:rFonts w:eastAsia="Calibri"/>
          <w:sz w:val="28"/>
          <w:szCs w:val="28"/>
          <w:lang w:eastAsia="ru-RU"/>
        </w:rPr>
        <w:t>.</w:t>
      </w:r>
      <w:r w:rsidR="00E96F27">
        <w:rPr>
          <w:rFonts w:eastAsia="Calibri"/>
          <w:sz w:val="28"/>
          <w:szCs w:val="28"/>
          <w:lang w:eastAsia="ru-RU"/>
        </w:rPr>
        <w:t>10</w:t>
      </w:r>
      <w:r w:rsidR="006B0801">
        <w:rPr>
          <w:rFonts w:eastAsia="Calibri"/>
          <w:sz w:val="28"/>
          <w:szCs w:val="28"/>
          <w:lang w:eastAsia="ru-RU"/>
        </w:rPr>
        <w:t>.2022</w:t>
      </w:r>
      <w:r w:rsidR="006B0801" w:rsidRPr="00894E01">
        <w:rPr>
          <w:rFonts w:eastAsia="Calibri"/>
          <w:sz w:val="28"/>
          <w:szCs w:val="28"/>
          <w:lang w:eastAsia="ru-RU"/>
        </w:rPr>
        <w:t xml:space="preserve"> </w:t>
      </w:r>
      <w:r w:rsidR="006B0801" w:rsidRPr="000942EF">
        <w:rPr>
          <w:rFonts w:eastAsia="Calibri"/>
          <w:sz w:val="28"/>
          <w:szCs w:val="28"/>
          <w:lang w:eastAsia="ru-RU"/>
        </w:rPr>
        <w:t>около 9 тыс</w:t>
      </w:r>
      <w:r w:rsidRPr="000942EF">
        <w:rPr>
          <w:rFonts w:eastAsia="Calibri"/>
          <w:sz w:val="28"/>
          <w:szCs w:val="28"/>
          <w:lang w:eastAsia="ru-RU"/>
        </w:rPr>
        <w:t>.</w:t>
      </w:r>
      <w:r w:rsidR="000942EF" w:rsidRPr="000942EF">
        <w:rPr>
          <w:rFonts w:eastAsia="Calibri"/>
          <w:sz w:val="28"/>
          <w:szCs w:val="28"/>
          <w:lang w:eastAsia="ru-RU"/>
        </w:rPr>
        <w:t xml:space="preserve"> человек из 71</w:t>
      </w:r>
      <w:r w:rsidR="006B0801" w:rsidRPr="000942EF">
        <w:rPr>
          <w:rFonts w:eastAsia="Calibri"/>
          <w:sz w:val="28"/>
          <w:szCs w:val="28"/>
          <w:lang w:eastAsia="ru-RU"/>
        </w:rPr>
        <w:t xml:space="preserve"> предприятий работали в режиме неполного рабочего времени, в том числе:</w:t>
      </w:r>
      <w:r w:rsidR="000942EF" w:rsidRPr="000942EF">
        <w:rPr>
          <w:rFonts w:eastAsia="Calibri"/>
          <w:sz w:val="28"/>
          <w:szCs w:val="28"/>
          <w:lang w:eastAsia="ru-RU"/>
        </w:rPr>
        <w:t xml:space="preserve"> 4016 человек - в простое, 4582</w:t>
      </w:r>
      <w:r w:rsidR="006B0801" w:rsidRPr="000942EF">
        <w:rPr>
          <w:rFonts w:eastAsia="Calibri"/>
          <w:sz w:val="28"/>
          <w:szCs w:val="28"/>
          <w:lang w:eastAsia="ru-RU"/>
        </w:rPr>
        <w:t xml:space="preserve"> человек - неполный рабочий день (неделю),</w:t>
      </w:r>
      <w:r w:rsidR="000942EF" w:rsidRPr="000942EF">
        <w:rPr>
          <w:rFonts w:eastAsia="Calibri"/>
          <w:sz w:val="28"/>
          <w:szCs w:val="28"/>
          <w:lang w:eastAsia="ru-RU"/>
        </w:rPr>
        <w:t xml:space="preserve"> 155</w:t>
      </w:r>
      <w:r w:rsidR="006B0801" w:rsidRPr="000942EF">
        <w:rPr>
          <w:rFonts w:eastAsia="Calibri"/>
          <w:sz w:val="28"/>
          <w:szCs w:val="28"/>
          <w:lang w:eastAsia="ru-RU"/>
        </w:rPr>
        <w:t xml:space="preserve"> человек - в отпусках без зарплаты</w:t>
      </w:r>
      <w:r w:rsidR="000942EF" w:rsidRPr="000942EF">
        <w:rPr>
          <w:rFonts w:eastAsia="Calibri"/>
          <w:sz w:val="28"/>
          <w:szCs w:val="28"/>
          <w:lang w:eastAsia="ru-RU"/>
        </w:rPr>
        <w:t xml:space="preserve">. </w:t>
      </w:r>
      <w:r w:rsidR="003C18A4">
        <w:rPr>
          <w:rFonts w:eastAsia="Calibri"/>
          <w:sz w:val="28"/>
          <w:szCs w:val="28"/>
          <w:lang w:eastAsia="ru-RU"/>
        </w:rPr>
        <w:t>Однако, э</w:t>
      </w:r>
      <w:r w:rsidR="000942EF" w:rsidRPr="000942EF">
        <w:rPr>
          <w:rFonts w:eastAsia="Calibri"/>
          <w:sz w:val="28"/>
          <w:szCs w:val="28"/>
          <w:lang w:eastAsia="ru-RU"/>
        </w:rPr>
        <w:t>то в 6 раз больше, чем на начало октября</w:t>
      </w:r>
      <w:r w:rsidR="006B0801" w:rsidRPr="000942EF">
        <w:rPr>
          <w:rFonts w:eastAsia="Calibri"/>
          <w:sz w:val="28"/>
          <w:szCs w:val="28"/>
          <w:lang w:eastAsia="ru-RU"/>
        </w:rPr>
        <w:t xml:space="preserve"> текущего года </w:t>
      </w:r>
      <w:r w:rsidR="000942EF" w:rsidRPr="000942EF">
        <w:rPr>
          <w:rFonts w:eastAsia="Calibri"/>
          <w:sz w:val="28"/>
          <w:szCs w:val="28"/>
          <w:lang w:eastAsia="ru-RU"/>
        </w:rPr>
        <w:t>(1,5</w:t>
      </w:r>
      <w:r w:rsidR="006B0801" w:rsidRPr="000942EF">
        <w:rPr>
          <w:rFonts w:eastAsia="Calibri"/>
          <w:sz w:val="28"/>
          <w:szCs w:val="28"/>
          <w:lang w:eastAsia="ru-RU"/>
        </w:rPr>
        <w:t xml:space="preserve"> тыс. человек). </w:t>
      </w:r>
    </w:p>
    <w:p w:rsidR="006B0801" w:rsidRPr="00725997" w:rsidRDefault="006B0801" w:rsidP="0024684D">
      <w:pPr>
        <w:pStyle w:val="afb"/>
        <w:numPr>
          <w:ilvl w:val="0"/>
          <w:numId w:val="5"/>
        </w:numPr>
        <w:suppressAutoHyphens w:val="0"/>
        <w:spacing w:line="276" w:lineRule="auto"/>
        <w:ind w:left="0" w:firstLine="709"/>
        <w:contextualSpacing/>
        <w:textAlignment w:val="top"/>
        <w:rPr>
          <w:sz w:val="28"/>
          <w:szCs w:val="28"/>
          <w:lang w:eastAsia="ru-RU"/>
        </w:rPr>
      </w:pPr>
      <w:r w:rsidRPr="00D777E5">
        <w:rPr>
          <w:sz w:val="28"/>
          <w:szCs w:val="28"/>
          <w:lang w:eastAsia="ru-RU"/>
        </w:rPr>
        <w:t xml:space="preserve">По прогнозу Центра занятости среднегодовая численность  безработных граждан  в 2022 году не превысит 3,1 тыс. человек, уровень </w:t>
      </w:r>
      <w:r w:rsidRPr="00725997">
        <w:rPr>
          <w:sz w:val="28"/>
          <w:szCs w:val="28"/>
          <w:lang w:eastAsia="ru-RU"/>
        </w:rPr>
        <w:t>безработицы соответственно – 0,79%.</w:t>
      </w:r>
    </w:p>
    <w:p w:rsidR="006B0801" w:rsidRPr="00725997" w:rsidRDefault="006B0801" w:rsidP="0024684D">
      <w:pPr>
        <w:pStyle w:val="aff0"/>
        <w:spacing w:line="276" w:lineRule="auto"/>
        <w:rPr>
          <w:szCs w:val="28"/>
          <w:lang w:eastAsia="ru-RU"/>
        </w:rPr>
      </w:pPr>
      <w:r w:rsidRPr="00725997">
        <w:rPr>
          <w:szCs w:val="28"/>
          <w:lang w:eastAsia="ru-RU"/>
        </w:rPr>
        <w:t>4. Прочие категории лиц в трудоспособном возрасте, не занятые трудовой деятельностью и учебой: в 2021 году – 44,4 тыс. человек. Расчетный показатель, в состав которого входят:</w:t>
      </w:r>
    </w:p>
    <w:p w:rsidR="006B0801" w:rsidRPr="00A3346D" w:rsidRDefault="006B0801" w:rsidP="0024684D">
      <w:pPr>
        <w:pStyle w:val="aff0"/>
        <w:spacing w:line="276" w:lineRule="auto"/>
        <w:rPr>
          <w:szCs w:val="28"/>
        </w:rPr>
      </w:pPr>
      <w:r w:rsidRPr="0018677D">
        <w:rPr>
          <w:szCs w:val="28"/>
          <w:lang w:eastAsia="ru-RU"/>
        </w:rPr>
        <w:t>- ч</w:t>
      </w:r>
      <w:r w:rsidRPr="0018677D">
        <w:rPr>
          <w:szCs w:val="28"/>
        </w:rPr>
        <w:t xml:space="preserve">исленность женщин, находящихся в отпуске по уходу за ребенком до достижения им возраста 1,5 лет, а также в возрасте от 1,5 до 3 лет в крупных и </w:t>
      </w:r>
      <w:r w:rsidRPr="001D3355">
        <w:rPr>
          <w:szCs w:val="28"/>
        </w:rPr>
        <w:t xml:space="preserve">средних организациях – в 2021 году 5,718 тыс. человек (в </w:t>
      </w:r>
      <w:r w:rsidRPr="001D3355">
        <w:rPr>
          <w:szCs w:val="28"/>
          <w:lang w:val="en-US"/>
        </w:rPr>
        <w:t>I</w:t>
      </w:r>
      <w:r w:rsidRPr="001D3355">
        <w:rPr>
          <w:szCs w:val="28"/>
        </w:rPr>
        <w:t xml:space="preserve"> полугодии 2022 года – 5,498 тыс. человек</w:t>
      </w:r>
      <w:r w:rsidRPr="00875992">
        <w:rPr>
          <w:szCs w:val="28"/>
        </w:rPr>
        <w:t xml:space="preserve">). Следует отметить, что данная категория граждан не </w:t>
      </w:r>
      <w:r w:rsidRPr="00A3346D">
        <w:rPr>
          <w:szCs w:val="28"/>
        </w:rPr>
        <w:t>входит в состав показателя «Занятые в экономике» согласно утвержденной статистической методике;</w:t>
      </w:r>
    </w:p>
    <w:p w:rsidR="006B0801" w:rsidRPr="00A3346D" w:rsidRDefault="006B0801" w:rsidP="0024684D">
      <w:pPr>
        <w:pStyle w:val="aff0"/>
        <w:spacing w:line="276" w:lineRule="auto"/>
        <w:rPr>
          <w:szCs w:val="28"/>
        </w:rPr>
      </w:pPr>
      <w:r w:rsidRPr="00A3346D">
        <w:rPr>
          <w:szCs w:val="28"/>
        </w:rPr>
        <w:t>- количество граждан, призванных для прохождения военной службы в 202</w:t>
      </w:r>
      <w:r w:rsidR="00B80DDD">
        <w:rPr>
          <w:szCs w:val="28"/>
        </w:rPr>
        <w:t>1</w:t>
      </w:r>
      <w:r w:rsidRPr="00A3346D">
        <w:rPr>
          <w:szCs w:val="28"/>
        </w:rPr>
        <w:t xml:space="preserve"> году – 0,914 тыс. человек; </w:t>
      </w:r>
    </w:p>
    <w:p w:rsidR="006B0801" w:rsidRPr="0018265E" w:rsidRDefault="006B0801" w:rsidP="0024684D">
      <w:pPr>
        <w:pStyle w:val="aff0"/>
        <w:numPr>
          <w:ilvl w:val="0"/>
          <w:numId w:val="5"/>
        </w:numPr>
        <w:spacing w:line="276" w:lineRule="auto"/>
        <w:ind w:left="0" w:firstLine="709"/>
        <w:rPr>
          <w:rFonts w:eastAsia="Calibri"/>
          <w:szCs w:val="28"/>
          <w:lang w:eastAsia="ar-SA"/>
        </w:rPr>
      </w:pPr>
      <w:r w:rsidRPr="001746D2">
        <w:rPr>
          <w:szCs w:val="28"/>
        </w:rPr>
        <w:t xml:space="preserve">- прочие не занятые граждане </w:t>
      </w:r>
      <w:r w:rsidRPr="00324464">
        <w:rPr>
          <w:szCs w:val="28"/>
        </w:rPr>
        <w:t xml:space="preserve">- </w:t>
      </w:r>
      <w:r w:rsidR="00324464" w:rsidRPr="00324464">
        <w:rPr>
          <w:szCs w:val="28"/>
        </w:rPr>
        <w:t>37,7</w:t>
      </w:r>
      <w:r w:rsidRPr="00324464">
        <w:rPr>
          <w:szCs w:val="28"/>
        </w:rPr>
        <w:t xml:space="preserve"> тыс. человек.</w:t>
      </w:r>
      <w:r w:rsidRPr="001746D2">
        <w:rPr>
          <w:szCs w:val="28"/>
        </w:rPr>
        <w:t xml:space="preserve"> </w:t>
      </w:r>
    </w:p>
    <w:p w:rsidR="006B0801" w:rsidRDefault="006B0801" w:rsidP="0024684D">
      <w:pPr>
        <w:numPr>
          <w:ilvl w:val="0"/>
          <w:numId w:val="5"/>
        </w:numPr>
        <w:tabs>
          <w:tab w:val="clear" w:pos="0"/>
        </w:tabs>
        <w:suppressAutoHyphens w:val="0"/>
        <w:spacing w:line="276" w:lineRule="auto"/>
        <w:ind w:left="0" w:firstLine="709"/>
        <w:contextualSpacing/>
        <w:textAlignment w:val="top"/>
        <w:rPr>
          <w:sz w:val="28"/>
          <w:szCs w:val="28"/>
          <w:lang w:eastAsia="ru-RU"/>
        </w:rPr>
      </w:pPr>
      <w:r w:rsidRPr="00DA150F">
        <w:rPr>
          <w:sz w:val="28"/>
          <w:szCs w:val="28"/>
          <w:lang w:eastAsia="ru-RU"/>
        </w:rPr>
        <w:t xml:space="preserve">Ситуация в сфере занятости находится на особом контроле Правительства Самарской области. Принят и реализуется План мероприятий по сохранению уровня занятости населения </w:t>
      </w:r>
      <w:r>
        <w:rPr>
          <w:sz w:val="28"/>
          <w:szCs w:val="28"/>
          <w:lang w:eastAsia="ru-RU"/>
        </w:rPr>
        <w:t>Самарской области</w:t>
      </w:r>
      <w:r w:rsidRPr="00DA150F">
        <w:rPr>
          <w:sz w:val="28"/>
          <w:szCs w:val="28"/>
          <w:lang w:eastAsia="ru-RU"/>
        </w:rPr>
        <w:t xml:space="preserve"> в условиях действия санкционных мер на 2022 год.</w:t>
      </w:r>
      <w:r w:rsidRPr="00182408">
        <w:rPr>
          <w:rFonts w:ascii="Roboto" w:hAnsi="Roboto"/>
          <w:color w:val="272D39"/>
          <w:sz w:val="27"/>
          <w:szCs w:val="27"/>
          <w:shd w:val="clear" w:color="auto" w:fill="FFFFFF"/>
        </w:rPr>
        <w:t xml:space="preserve"> </w:t>
      </w:r>
      <w:r w:rsidRPr="00182408">
        <w:rPr>
          <w:sz w:val="28"/>
          <w:szCs w:val="28"/>
          <w:lang w:eastAsia="ru-RU"/>
        </w:rPr>
        <w:t>План включает в себя содействие в трудоустройстве безработных и выпускников, легализацию неформальной занятости, реализацию программы социальных контрактов, создание инвесторами рабочих мест и другое.</w:t>
      </w:r>
    </w:p>
    <w:p w:rsidR="006B0801" w:rsidRPr="0024684D" w:rsidRDefault="006B0801" w:rsidP="0024684D">
      <w:pPr>
        <w:numPr>
          <w:ilvl w:val="0"/>
          <w:numId w:val="5"/>
        </w:numPr>
        <w:suppressAutoHyphens w:val="0"/>
        <w:spacing w:line="276" w:lineRule="auto"/>
        <w:ind w:left="0" w:firstLine="709"/>
        <w:contextualSpacing/>
        <w:textAlignment w:val="top"/>
        <w:rPr>
          <w:sz w:val="28"/>
          <w:szCs w:val="28"/>
          <w:lang w:eastAsia="ru-RU"/>
        </w:rPr>
      </w:pPr>
      <w:r>
        <w:rPr>
          <w:sz w:val="28"/>
          <w:szCs w:val="28"/>
          <w:lang w:eastAsia="ru-RU"/>
        </w:rPr>
        <w:t>В</w:t>
      </w:r>
      <w:r w:rsidRPr="00F03317">
        <w:rPr>
          <w:sz w:val="28"/>
          <w:szCs w:val="28"/>
          <w:lang w:eastAsia="ru-RU"/>
        </w:rPr>
        <w:t xml:space="preserve"> рамках государственной программы содействия занятости населения Самарской области на 2019-2023 годы в городском округе Тольятти </w:t>
      </w:r>
      <w:r>
        <w:rPr>
          <w:sz w:val="28"/>
          <w:szCs w:val="28"/>
          <w:lang w:eastAsia="ru-RU"/>
        </w:rPr>
        <w:t>предусмотрены меры</w:t>
      </w:r>
      <w:r w:rsidRPr="001A7557">
        <w:rPr>
          <w:sz w:val="28"/>
          <w:szCs w:val="28"/>
          <w:lang w:eastAsia="ru-RU"/>
        </w:rPr>
        <w:t xml:space="preserve"> </w:t>
      </w:r>
      <w:r>
        <w:rPr>
          <w:sz w:val="28"/>
          <w:szCs w:val="28"/>
          <w:lang w:eastAsia="ru-RU"/>
        </w:rPr>
        <w:t>поддержки</w:t>
      </w:r>
      <w:r w:rsidRPr="001A7557">
        <w:rPr>
          <w:sz w:val="28"/>
          <w:szCs w:val="28"/>
          <w:lang w:eastAsia="ru-RU"/>
        </w:rPr>
        <w:t xml:space="preserve">, включающие в себя мероприятия по стимулированию работодателей к найму на работу безработных граждан, а также профессиональное обучение и дополнительное профессиональное образование </w:t>
      </w:r>
      <w:r w:rsidRPr="0024684D">
        <w:rPr>
          <w:sz w:val="28"/>
          <w:szCs w:val="28"/>
          <w:lang w:eastAsia="ru-RU"/>
        </w:rPr>
        <w:t xml:space="preserve">отдельных категорий граждан, временное трудоустройство молодежи, услуги по содействию самозанятости, организация ярмарок вакансий и учебных рабочих мест. </w:t>
      </w:r>
    </w:p>
    <w:p w:rsidR="006272C2" w:rsidRPr="0024684D" w:rsidRDefault="006272C2" w:rsidP="006272C2">
      <w:pPr>
        <w:pStyle w:val="aff0"/>
        <w:spacing w:line="276" w:lineRule="auto"/>
        <w:rPr>
          <w:szCs w:val="24"/>
        </w:rPr>
      </w:pPr>
      <w:r w:rsidRPr="0024684D">
        <w:rPr>
          <w:szCs w:val="28"/>
          <w:lang w:eastAsia="ru-RU"/>
        </w:rPr>
        <w:t xml:space="preserve">С начала текущего года (на 01.07.2022) Центром занятости было трудоустроено 988 человек, </w:t>
      </w:r>
      <w:r w:rsidRPr="0024684D">
        <w:rPr>
          <w:szCs w:val="24"/>
        </w:rPr>
        <w:t xml:space="preserve">из них на общественные работы – 162 человек, временное трудоустройство граждан, испытывающих трудности в поиске работы – 23 человек, 740 человек в возрасте от 14 до 18 лет трудоустроено на временные работы, </w:t>
      </w:r>
      <w:r w:rsidRPr="0024684D">
        <w:rPr>
          <w:rFonts w:eastAsia="Calibri"/>
          <w:szCs w:val="24"/>
          <w:lang w:eastAsia="ru-RU"/>
        </w:rPr>
        <w:t>зарегистрировали предпринимательскую деятельность 63 человек</w:t>
      </w:r>
      <w:r w:rsidRPr="0024684D">
        <w:rPr>
          <w:szCs w:val="24"/>
        </w:rPr>
        <w:t xml:space="preserve">. </w:t>
      </w:r>
    </w:p>
    <w:p w:rsidR="00D91834" w:rsidRDefault="006272C2" w:rsidP="00D91834">
      <w:pPr>
        <w:pStyle w:val="aff0"/>
        <w:spacing w:line="276" w:lineRule="auto"/>
        <w:rPr>
          <w:rFonts w:eastAsia="Calibri"/>
          <w:szCs w:val="24"/>
          <w:lang w:eastAsia="ru-RU"/>
        </w:rPr>
      </w:pPr>
      <w:r w:rsidRPr="0024684D">
        <w:rPr>
          <w:rFonts w:eastAsia="Calibri"/>
          <w:szCs w:val="24"/>
          <w:lang w:eastAsia="ru-RU"/>
        </w:rPr>
        <w:t>В течение отчетного периода Центром занятости предоставлено консалтинговых услуг 452 гражданам. Направлено на профессиональное обучение 522 человек. Оказано профориентационных услуг 6639 горожанам. Проведено 15 специализированных мероприяти</w:t>
      </w:r>
      <w:r w:rsidR="00D91834">
        <w:rPr>
          <w:rFonts w:eastAsia="Calibri"/>
          <w:szCs w:val="24"/>
          <w:lang w:eastAsia="ru-RU"/>
        </w:rPr>
        <w:t>й (ярмарок вакансий)</w:t>
      </w:r>
      <w:r w:rsidRPr="0024684D">
        <w:rPr>
          <w:rFonts w:eastAsia="Calibri"/>
          <w:szCs w:val="24"/>
          <w:lang w:eastAsia="ru-RU"/>
        </w:rPr>
        <w:t xml:space="preserve"> с охватом участников 1076 человек. </w:t>
      </w:r>
    </w:p>
    <w:p w:rsidR="006B0801" w:rsidRDefault="006B0801" w:rsidP="00D91834">
      <w:pPr>
        <w:pStyle w:val="aff0"/>
        <w:spacing w:line="276" w:lineRule="auto"/>
        <w:rPr>
          <w:szCs w:val="28"/>
          <w:lang w:eastAsia="ru-RU"/>
        </w:rPr>
      </w:pPr>
      <w:r w:rsidRPr="0024684D">
        <w:rPr>
          <w:szCs w:val="28"/>
          <w:lang w:eastAsia="ru-RU"/>
        </w:rPr>
        <w:t xml:space="preserve">Принимаются дополнительные меры, направленные на </w:t>
      </w:r>
      <w:r w:rsidR="001D4068" w:rsidRPr="0024684D">
        <w:rPr>
          <w:szCs w:val="28"/>
          <w:lang w:eastAsia="ru-RU"/>
        </w:rPr>
        <w:t>сдерживание</w:t>
      </w:r>
      <w:r w:rsidRPr="0024684D">
        <w:rPr>
          <w:szCs w:val="28"/>
          <w:lang w:eastAsia="ru-RU"/>
        </w:rPr>
        <w:t xml:space="preserve"> напряженности на рынке труда. В условиях частичной загрузки производств с целью поддержания занятости и доходов</w:t>
      </w:r>
      <w:r w:rsidRPr="00DA150F">
        <w:rPr>
          <w:szCs w:val="28"/>
          <w:lang w:eastAsia="ru-RU"/>
        </w:rPr>
        <w:t xml:space="preserve"> граждан организ</w:t>
      </w:r>
      <w:r>
        <w:rPr>
          <w:szCs w:val="28"/>
          <w:lang w:eastAsia="ru-RU"/>
        </w:rPr>
        <w:t>ованы</w:t>
      </w:r>
      <w:r w:rsidRPr="00DA150F">
        <w:rPr>
          <w:szCs w:val="28"/>
          <w:lang w:eastAsia="ru-RU"/>
        </w:rPr>
        <w:t xml:space="preserve"> временные и общественные работы. </w:t>
      </w:r>
    </w:p>
    <w:p w:rsidR="006B0801" w:rsidRDefault="006B0801" w:rsidP="0024684D">
      <w:pPr>
        <w:numPr>
          <w:ilvl w:val="0"/>
          <w:numId w:val="5"/>
        </w:numPr>
        <w:suppressAutoHyphens w:val="0"/>
        <w:spacing w:line="276" w:lineRule="auto"/>
        <w:ind w:left="0" w:firstLine="709"/>
        <w:contextualSpacing/>
        <w:textAlignment w:val="top"/>
        <w:rPr>
          <w:rFonts w:eastAsia="Calibri"/>
          <w:sz w:val="28"/>
          <w:szCs w:val="28"/>
          <w:lang w:eastAsia="ru-RU"/>
        </w:rPr>
      </w:pPr>
      <w:r w:rsidRPr="00253544">
        <w:rPr>
          <w:sz w:val="28"/>
          <w:szCs w:val="28"/>
          <w:lang w:eastAsia="ru-RU"/>
        </w:rPr>
        <w:t xml:space="preserve">Всего, при участии администрации городского округа Тольятти, </w:t>
      </w:r>
      <w:r w:rsidR="00324464">
        <w:rPr>
          <w:sz w:val="28"/>
          <w:szCs w:val="28"/>
          <w:lang w:eastAsia="ru-RU"/>
        </w:rPr>
        <w:t xml:space="preserve">в 2022 году </w:t>
      </w:r>
      <w:r w:rsidRPr="00253544">
        <w:rPr>
          <w:sz w:val="28"/>
          <w:szCs w:val="28"/>
          <w:lang w:eastAsia="ru-RU"/>
        </w:rPr>
        <w:t xml:space="preserve">были заключены договоры с организациями городского округа Тольятти  на организацию оплачиваемых общественных и временных работ, в рамках которых трудоустроено </w:t>
      </w:r>
      <w:r w:rsidRPr="00253544">
        <w:rPr>
          <w:rFonts w:eastAsia="Calibri"/>
          <w:sz w:val="28"/>
          <w:szCs w:val="28"/>
          <w:lang w:eastAsia="ru-RU"/>
        </w:rPr>
        <w:t xml:space="preserve">более 33 тысяч граждан, в том числе: на временные работы - 32,5 тыс. человек </w:t>
      </w:r>
      <w:r>
        <w:rPr>
          <w:rFonts w:eastAsia="Calibri"/>
          <w:sz w:val="28"/>
          <w:szCs w:val="28"/>
          <w:lang w:eastAsia="ru-RU"/>
        </w:rPr>
        <w:t>(</w:t>
      </w:r>
      <w:r w:rsidRPr="00253544">
        <w:rPr>
          <w:rFonts w:eastAsia="Calibri"/>
          <w:sz w:val="28"/>
          <w:szCs w:val="28"/>
          <w:lang w:eastAsia="ru-RU"/>
        </w:rPr>
        <w:t>61 организация</w:t>
      </w:r>
      <w:r>
        <w:rPr>
          <w:rFonts w:eastAsia="Calibri"/>
          <w:sz w:val="28"/>
          <w:szCs w:val="28"/>
          <w:lang w:eastAsia="ru-RU"/>
        </w:rPr>
        <w:t>)</w:t>
      </w:r>
      <w:r w:rsidRPr="00253544">
        <w:rPr>
          <w:rFonts w:eastAsia="Calibri"/>
          <w:sz w:val="28"/>
          <w:szCs w:val="28"/>
          <w:lang w:eastAsia="ru-RU"/>
        </w:rPr>
        <w:t xml:space="preserve">; на общественные работы - 900 человек </w:t>
      </w:r>
      <w:r>
        <w:rPr>
          <w:rFonts w:eastAsia="Calibri"/>
          <w:sz w:val="28"/>
          <w:szCs w:val="28"/>
          <w:lang w:eastAsia="ru-RU"/>
        </w:rPr>
        <w:t>(</w:t>
      </w:r>
      <w:r w:rsidRPr="00253544">
        <w:rPr>
          <w:rFonts w:eastAsia="Calibri"/>
          <w:sz w:val="28"/>
          <w:szCs w:val="28"/>
          <w:lang w:eastAsia="ru-RU"/>
        </w:rPr>
        <w:t>15 организаций</w:t>
      </w:r>
      <w:r>
        <w:rPr>
          <w:rFonts w:eastAsia="Calibri"/>
          <w:sz w:val="28"/>
          <w:szCs w:val="28"/>
          <w:lang w:eastAsia="ru-RU"/>
        </w:rPr>
        <w:t>)</w:t>
      </w:r>
      <w:r w:rsidRPr="00253544">
        <w:rPr>
          <w:rFonts w:eastAsia="Calibri"/>
          <w:sz w:val="28"/>
          <w:szCs w:val="28"/>
          <w:lang w:eastAsia="ru-RU"/>
        </w:rPr>
        <w:t>. Объем перечисленных субсидий составил 2551,2 млн. руб., в том числе на временную занятость - 2543,1 млн. руб., на общественные работы -   8,091 млн. руб.</w:t>
      </w:r>
    </w:p>
    <w:p w:rsidR="006B0801" w:rsidRPr="00FB25DA" w:rsidRDefault="006B0801" w:rsidP="0024684D">
      <w:pPr>
        <w:numPr>
          <w:ilvl w:val="0"/>
          <w:numId w:val="5"/>
        </w:numPr>
        <w:suppressAutoHyphens w:val="0"/>
        <w:spacing w:line="276" w:lineRule="auto"/>
        <w:ind w:left="0" w:firstLine="709"/>
        <w:contextualSpacing/>
        <w:textAlignment w:val="top"/>
        <w:rPr>
          <w:sz w:val="28"/>
          <w:szCs w:val="28"/>
          <w:lang w:eastAsia="ru-RU"/>
        </w:rPr>
      </w:pPr>
      <w:r w:rsidRPr="00D81F32">
        <w:rPr>
          <w:sz w:val="28"/>
          <w:szCs w:val="28"/>
          <w:lang w:eastAsia="ru-RU"/>
        </w:rPr>
        <w:t>С</w:t>
      </w:r>
      <w:r w:rsidRPr="001A7557">
        <w:rPr>
          <w:sz w:val="28"/>
          <w:szCs w:val="28"/>
          <w:lang w:eastAsia="ru-RU"/>
        </w:rPr>
        <w:t xml:space="preserve"> 2021 год</w:t>
      </w:r>
      <w:r w:rsidRPr="00D81F32">
        <w:rPr>
          <w:sz w:val="28"/>
          <w:szCs w:val="28"/>
          <w:lang w:eastAsia="ru-RU"/>
        </w:rPr>
        <w:t>а</w:t>
      </w:r>
      <w:r w:rsidRPr="001A7557">
        <w:rPr>
          <w:sz w:val="28"/>
          <w:szCs w:val="28"/>
          <w:lang w:eastAsia="ru-RU"/>
        </w:rPr>
        <w:t xml:space="preserve"> жители Самарской области могут воспользоваться правом на получение государственной социальной помощи на основании социального контракта, в том числе в сфере занятости. По данным территориального отдела Центрального округа министерства социально – демографической и семейной политики Самарской области за </w:t>
      </w:r>
      <w:r w:rsidRPr="00D81F32">
        <w:rPr>
          <w:sz w:val="28"/>
          <w:szCs w:val="28"/>
          <w:lang w:eastAsia="ru-RU"/>
        </w:rPr>
        <w:t>6 месяцев</w:t>
      </w:r>
      <w:r w:rsidRPr="001A7557">
        <w:rPr>
          <w:sz w:val="28"/>
          <w:szCs w:val="28"/>
          <w:lang w:eastAsia="ru-RU"/>
        </w:rPr>
        <w:t xml:space="preserve"> 202</w:t>
      </w:r>
      <w:r w:rsidRPr="00D81F32">
        <w:rPr>
          <w:sz w:val="28"/>
          <w:szCs w:val="28"/>
          <w:lang w:eastAsia="ru-RU"/>
        </w:rPr>
        <w:t>2</w:t>
      </w:r>
      <w:r>
        <w:rPr>
          <w:sz w:val="28"/>
          <w:szCs w:val="28"/>
          <w:lang w:eastAsia="ru-RU"/>
        </w:rPr>
        <w:t xml:space="preserve"> года в рамках</w:t>
      </w:r>
      <w:r w:rsidRPr="001A7557">
        <w:rPr>
          <w:sz w:val="28"/>
          <w:szCs w:val="28"/>
          <w:lang w:eastAsia="ru-RU"/>
        </w:rPr>
        <w:t xml:space="preserve"> содействия в поиске работы заключен</w:t>
      </w:r>
      <w:r w:rsidRPr="00D81F32">
        <w:rPr>
          <w:sz w:val="28"/>
          <w:szCs w:val="28"/>
          <w:lang w:eastAsia="ru-RU"/>
        </w:rPr>
        <w:t>о</w:t>
      </w:r>
      <w:r w:rsidRPr="001A7557">
        <w:rPr>
          <w:sz w:val="28"/>
          <w:szCs w:val="28"/>
          <w:lang w:eastAsia="ru-RU"/>
        </w:rPr>
        <w:t xml:space="preserve"> </w:t>
      </w:r>
      <w:r w:rsidRPr="00D81F32">
        <w:rPr>
          <w:sz w:val="28"/>
          <w:szCs w:val="28"/>
          <w:lang w:eastAsia="ru-RU"/>
        </w:rPr>
        <w:t>76</w:t>
      </w:r>
      <w:r w:rsidRPr="001A7557">
        <w:rPr>
          <w:sz w:val="28"/>
          <w:szCs w:val="28"/>
          <w:lang w:eastAsia="ru-RU"/>
        </w:rPr>
        <w:t xml:space="preserve"> контракт</w:t>
      </w:r>
      <w:r w:rsidRPr="00D81F32">
        <w:rPr>
          <w:sz w:val="28"/>
          <w:szCs w:val="28"/>
          <w:lang w:eastAsia="ru-RU"/>
        </w:rPr>
        <w:t>ов</w:t>
      </w:r>
      <w:r w:rsidRPr="001A7557">
        <w:rPr>
          <w:sz w:val="28"/>
          <w:szCs w:val="28"/>
          <w:lang w:eastAsia="ru-RU"/>
        </w:rPr>
        <w:t xml:space="preserve"> с гражданами городского округа Тольятти, по осуществлению индивидуальной предпринимательской деятельности -  </w:t>
      </w:r>
      <w:r>
        <w:rPr>
          <w:sz w:val="28"/>
          <w:szCs w:val="28"/>
          <w:lang w:eastAsia="ru-RU"/>
        </w:rPr>
        <w:t>588</w:t>
      </w:r>
      <w:r w:rsidRPr="001A7557">
        <w:rPr>
          <w:sz w:val="28"/>
          <w:szCs w:val="28"/>
          <w:lang w:eastAsia="ru-RU"/>
        </w:rPr>
        <w:t xml:space="preserve"> контрактов.</w:t>
      </w:r>
    </w:p>
    <w:p w:rsidR="006B0801" w:rsidRPr="00ED06DC" w:rsidRDefault="006B0801" w:rsidP="0024684D">
      <w:pPr>
        <w:pStyle w:val="afb"/>
        <w:widowControl w:val="0"/>
        <w:numPr>
          <w:ilvl w:val="0"/>
          <w:numId w:val="5"/>
        </w:numPr>
        <w:suppressAutoHyphens w:val="0"/>
        <w:spacing w:line="276" w:lineRule="auto"/>
        <w:ind w:left="0" w:firstLine="709"/>
        <w:contextualSpacing/>
        <w:textAlignment w:val="top"/>
        <w:rPr>
          <w:sz w:val="28"/>
          <w:szCs w:val="28"/>
          <w:lang w:eastAsia="ru-RU"/>
        </w:rPr>
      </w:pPr>
      <w:r w:rsidRPr="00ED06DC">
        <w:rPr>
          <w:sz w:val="28"/>
          <w:szCs w:val="28"/>
          <w:lang w:eastAsia="ru-RU"/>
        </w:rPr>
        <w:t xml:space="preserve">Важную роль в повышении привлекательности городского округа Тольятти как места для вложения инвестиций и ведения бизнеса оказывает созданная территория опережающего социально-экономического развития (ТОСЭР «Тольятти»), что способствует привлечению в город инвестиций и созданию новых рабочих мест. </w:t>
      </w:r>
    </w:p>
    <w:p w:rsidR="006B0801" w:rsidRPr="00324464" w:rsidRDefault="006B0801" w:rsidP="0024684D">
      <w:pPr>
        <w:pStyle w:val="aff0"/>
        <w:spacing w:line="276" w:lineRule="auto"/>
        <w:rPr>
          <w:szCs w:val="28"/>
          <w:lang w:eastAsia="ru-RU"/>
        </w:rPr>
      </w:pPr>
      <w:r w:rsidRPr="00324464">
        <w:rPr>
          <w:szCs w:val="28"/>
          <w:lang w:eastAsia="ru-RU"/>
        </w:rPr>
        <w:t xml:space="preserve">Несмотря на сдерживающее влияние, которое оказала неблагоприятная санитарно-эпидемиологическая обстановка, связанная с распространением новой коронавирусной инфекции, резиденты продолжают развивать инвестиционные проекты на территории города. </w:t>
      </w:r>
    </w:p>
    <w:p w:rsidR="00D91834" w:rsidRDefault="00324464" w:rsidP="0024684D">
      <w:pPr>
        <w:pStyle w:val="aff0"/>
        <w:spacing w:line="276" w:lineRule="auto"/>
        <w:rPr>
          <w:szCs w:val="28"/>
          <w:lang w:eastAsia="ru-RU"/>
        </w:rPr>
      </w:pPr>
      <w:r>
        <w:rPr>
          <w:szCs w:val="28"/>
        </w:rPr>
        <w:t>В</w:t>
      </w:r>
      <w:r w:rsidRPr="00BD0CCC">
        <w:rPr>
          <w:szCs w:val="28"/>
          <w:lang w:eastAsia="ru-RU"/>
        </w:rPr>
        <w:t xml:space="preserve"> </w:t>
      </w:r>
      <w:r w:rsidR="003146DE">
        <w:rPr>
          <w:rFonts w:eastAsiaTheme="minorEastAsia"/>
          <w:szCs w:val="28"/>
          <w:lang w:val="en-US" w:eastAsia="ru-RU"/>
        </w:rPr>
        <w:t>I</w:t>
      </w:r>
      <w:r>
        <w:rPr>
          <w:szCs w:val="28"/>
          <w:lang w:eastAsia="ru-RU"/>
        </w:rPr>
        <w:t xml:space="preserve"> полугодии </w:t>
      </w:r>
      <w:r w:rsidRPr="00BD0CCC">
        <w:rPr>
          <w:szCs w:val="28"/>
          <w:lang w:eastAsia="ru-RU"/>
        </w:rPr>
        <w:t>2022 год</w:t>
      </w:r>
      <w:r>
        <w:rPr>
          <w:szCs w:val="28"/>
          <w:lang w:eastAsia="ru-RU"/>
        </w:rPr>
        <w:t>а</w:t>
      </w:r>
      <w:r w:rsidRPr="00BD0CCC">
        <w:rPr>
          <w:szCs w:val="28"/>
          <w:lang w:eastAsia="ru-RU"/>
        </w:rPr>
        <w:t xml:space="preserve"> </w:t>
      </w:r>
      <w:r>
        <w:rPr>
          <w:szCs w:val="28"/>
          <w:lang w:eastAsia="ru-RU"/>
        </w:rPr>
        <w:t>резидентами ТОСЭР «Тольятти» и</w:t>
      </w:r>
      <w:r w:rsidRPr="00BD0CCC">
        <w:rPr>
          <w:szCs w:val="28"/>
          <w:lang w:eastAsia="ru-RU"/>
        </w:rPr>
        <w:t xml:space="preserve"> ОЭЗ ППТ «Тольятти» создано </w:t>
      </w:r>
      <w:r>
        <w:rPr>
          <w:szCs w:val="28"/>
          <w:lang w:eastAsia="ru-RU"/>
        </w:rPr>
        <w:t>681</w:t>
      </w:r>
      <w:r w:rsidRPr="00BD0CCC">
        <w:rPr>
          <w:szCs w:val="28"/>
          <w:lang w:eastAsia="ru-RU"/>
        </w:rPr>
        <w:t xml:space="preserve"> рабоч</w:t>
      </w:r>
      <w:r>
        <w:rPr>
          <w:szCs w:val="28"/>
          <w:lang w:eastAsia="ru-RU"/>
        </w:rPr>
        <w:t>ее</w:t>
      </w:r>
      <w:r w:rsidRPr="00BD0CCC">
        <w:rPr>
          <w:szCs w:val="28"/>
          <w:lang w:eastAsia="ru-RU"/>
        </w:rPr>
        <w:t xml:space="preserve"> мест</w:t>
      </w:r>
      <w:r>
        <w:rPr>
          <w:szCs w:val="28"/>
          <w:lang w:eastAsia="ru-RU"/>
        </w:rPr>
        <w:t>о</w:t>
      </w:r>
      <w:r w:rsidR="00D91834">
        <w:rPr>
          <w:szCs w:val="28"/>
          <w:lang w:eastAsia="ru-RU"/>
        </w:rPr>
        <w:t>.</w:t>
      </w:r>
      <w:r>
        <w:rPr>
          <w:szCs w:val="28"/>
          <w:lang w:eastAsia="ru-RU"/>
        </w:rPr>
        <w:t xml:space="preserve"> </w:t>
      </w:r>
    </w:p>
    <w:p w:rsidR="00324464" w:rsidRPr="00CA11C8" w:rsidRDefault="00D91834" w:rsidP="0024684D">
      <w:pPr>
        <w:pStyle w:val="aff0"/>
        <w:spacing w:line="276" w:lineRule="auto"/>
        <w:rPr>
          <w:szCs w:val="28"/>
        </w:rPr>
      </w:pPr>
      <w:r>
        <w:rPr>
          <w:szCs w:val="28"/>
          <w:lang w:eastAsia="ru-RU"/>
        </w:rPr>
        <w:t>С</w:t>
      </w:r>
      <w:r w:rsidR="00324464" w:rsidRPr="00CA11C8">
        <w:rPr>
          <w:szCs w:val="28"/>
        </w:rPr>
        <w:t xml:space="preserve"> начала 2022 года зарегистрировано 2,5 новых индивидуальных предпринимателей, число самозанятых выросло c начала года на </w:t>
      </w:r>
      <w:r w:rsidR="00324464">
        <w:rPr>
          <w:szCs w:val="28"/>
        </w:rPr>
        <w:t>9,7</w:t>
      </w:r>
      <w:r w:rsidR="00324464" w:rsidRPr="00CA11C8">
        <w:rPr>
          <w:szCs w:val="28"/>
        </w:rPr>
        <w:t xml:space="preserve"> тысяч и составило 3</w:t>
      </w:r>
      <w:r w:rsidR="00324464">
        <w:rPr>
          <w:szCs w:val="28"/>
        </w:rPr>
        <w:t>2,1</w:t>
      </w:r>
      <w:r w:rsidR="00324464" w:rsidRPr="00CA11C8">
        <w:rPr>
          <w:szCs w:val="28"/>
        </w:rPr>
        <w:t xml:space="preserve"> тыс. человек. </w:t>
      </w:r>
    </w:p>
    <w:p w:rsidR="00324464" w:rsidRPr="00AD79E5" w:rsidRDefault="00324464" w:rsidP="0024684D">
      <w:pPr>
        <w:pStyle w:val="aff0"/>
        <w:spacing w:line="276" w:lineRule="auto"/>
        <w:rPr>
          <w:rFonts w:eastAsia="Calibri"/>
          <w:szCs w:val="28"/>
          <w:lang w:eastAsia="ar-SA"/>
        </w:rPr>
      </w:pPr>
      <w:r w:rsidRPr="00BD0CCC">
        <w:rPr>
          <w:szCs w:val="28"/>
          <w:lang w:eastAsia="ru-RU"/>
        </w:rPr>
        <w:t xml:space="preserve">  </w:t>
      </w:r>
      <w:r w:rsidRPr="00BD0CCC">
        <w:rPr>
          <w:rFonts w:eastAsia="Calibri"/>
          <w:szCs w:val="28"/>
          <w:lang w:eastAsia="ar-SA"/>
        </w:rPr>
        <w:t xml:space="preserve">Кроме этого, по данным Самарастата, за </w:t>
      </w:r>
      <w:r w:rsidRPr="00BD0CCC">
        <w:rPr>
          <w:rFonts w:eastAsia="Calibri"/>
          <w:szCs w:val="28"/>
          <w:lang w:val="en-US" w:eastAsia="ar-SA"/>
        </w:rPr>
        <w:t>I</w:t>
      </w:r>
      <w:r w:rsidRPr="00BD0CCC">
        <w:rPr>
          <w:rFonts w:eastAsia="Calibri"/>
          <w:szCs w:val="28"/>
          <w:lang w:eastAsia="ar-SA"/>
        </w:rPr>
        <w:t xml:space="preserve"> полугодие 2022 года в организациях, не относящихся к субъектам малого предпринимательства, создано 808 новых рабочих мест </w:t>
      </w:r>
      <w:r w:rsidRPr="00AD79E5">
        <w:rPr>
          <w:rFonts w:eastAsia="Calibri"/>
          <w:szCs w:val="28"/>
          <w:lang w:eastAsia="ar-SA"/>
        </w:rPr>
        <w:t>(частично учтены данные резидентов ТОСЭР «Тольятти» и ОЭЗ ППТ «Тольятти», не являющихся субъектами малого предпринимательства).</w:t>
      </w:r>
    </w:p>
    <w:p w:rsidR="00EE2A78" w:rsidRPr="00EE2A78" w:rsidRDefault="006B0801" w:rsidP="0024684D">
      <w:pPr>
        <w:pStyle w:val="aff0"/>
        <w:numPr>
          <w:ilvl w:val="0"/>
          <w:numId w:val="5"/>
        </w:numPr>
        <w:suppressAutoHyphens w:val="0"/>
        <w:spacing w:line="276" w:lineRule="auto"/>
        <w:ind w:left="0" w:firstLine="709"/>
        <w:contextualSpacing/>
        <w:rPr>
          <w:rFonts w:eastAsia="Calibri"/>
          <w:szCs w:val="28"/>
          <w:lang w:eastAsia="ar-SA"/>
        </w:rPr>
      </w:pPr>
      <w:r w:rsidRPr="00EE2A78">
        <w:rPr>
          <w:rFonts w:eastAsia="Calibri"/>
          <w:szCs w:val="28"/>
          <w:lang w:eastAsia="en-US"/>
        </w:rPr>
        <w:t>Одно из важных направлений в сфере занятости населения - снижение неформальной занятости населения.</w:t>
      </w:r>
      <w:r w:rsidRPr="00EE2A78">
        <w:rPr>
          <w:rFonts w:eastAsia="Calibri"/>
          <w:szCs w:val="28"/>
          <w:lang w:eastAsia="ar-SA"/>
        </w:rPr>
        <w:t xml:space="preserve"> В администрации городского округа Тольятти ведется работа, направленная на выявление и содействие легализации неформальной занятости, по нескольким направлениям</w:t>
      </w:r>
      <w:r w:rsidR="00EE2A78" w:rsidRPr="00EE2A78">
        <w:rPr>
          <w:rFonts w:eastAsia="Calibri"/>
          <w:szCs w:val="28"/>
          <w:lang w:eastAsia="ar-SA"/>
        </w:rPr>
        <w:t xml:space="preserve">: работа межведомственной комиссии по урегулированию задолженности по доходам бюджета и легализации недекларируемой части заработной платы при администрации городского округа Тольятти, на которой рассматриваются работодатели, у которых имеются признаки «неформальной» занятости  (в </w:t>
      </w:r>
      <w:r w:rsidR="003146DE">
        <w:rPr>
          <w:rFonts w:eastAsiaTheme="minorEastAsia"/>
          <w:szCs w:val="28"/>
          <w:lang w:val="en-US" w:eastAsia="ru-RU"/>
        </w:rPr>
        <w:t>I</w:t>
      </w:r>
      <w:r w:rsidR="00EE2A78">
        <w:rPr>
          <w:rFonts w:eastAsia="Calibri"/>
          <w:szCs w:val="28"/>
          <w:lang w:eastAsia="ar-SA"/>
        </w:rPr>
        <w:t xml:space="preserve"> полугодии </w:t>
      </w:r>
      <w:r w:rsidR="00EE2A78" w:rsidRPr="00EE2A78">
        <w:rPr>
          <w:rFonts w:eastAsia="Calibri"/>
          <w:szCs w:val="28"/>
          <w:lang w:eastAsia="ar-SA"/>
        </w:rPr>
        <w:t>2022 год</w:t>
      </w:r>
      <w:r w:rsidR="00EE2A78">
        <w:rPr>
          <w:rFonts w:eastAsia="Calibri"/>
          <w:szCs w:val="28"/>
          <w:lang w:eastAsia="ar-SA"/>
        </w:rPr>
        <w:t>а</w:t>
      </w:r>
      <w:r w:rsidR="00EE2A78" w:rsidRPr="00EE2A78">
        <w:rPr>
          <w:rFonts w:eastAsia="Calibri"/>
          <w:szCs w:val="28"/>
          <w:lang w:eastAsia="ar-SA"/>
        </w:rPr>
        <w:t xml:space="preserve"> проведено </w:t>
      </w:r>
      <w:r w:rsidR="00EE2A78">
        <w:rPr>
          <w:rFonts w:eastAsia="Calibri"/>
          <w:szCs w:val="28"/>
          <w:lang w:eastAsia="ar-SA"/>
        </w:rPr>
        <w:t>6</w:t>
      </w:r>
      <w:r w:rsidR="00EE2A78" w:rsidRPr="00EE2A78">
        <w:rPr>
          <w:rFonts w:eastAsia="Calibri"/>
          <w:szCs w:val="28"/>
          <w:lang w:eastAsia="ar-SA"/>
        </w:rPr>
        <w:t xml:space="preserve"> заседаний Комиссии); проводится информационно-разъяснительная работа, направленная на популяризацию предпринимательства и снижение «неформальной» деятельности в городском округе Тольятти; открыт телефон «горячей линии» администрации городского округа Тольятти по вопросам задолженности по заработной плате и легализации трудовых отношений.</w:t>
      </w:r>
    </w:p>
    <w:p w:rsidR="006B0801" w:rsidRDefault="006B0801" w:rsidP="0024684D">
      <w:pPr>
        <w:widowControl w:val="0"/>
        <w:numPr>
          <w:ilvl w:val="0"/>
          <w:numId w:val="5"/>
        </w:numPr>
        <w:suppressAutoHyphens w:val="0"/>
        <w:spacing w:line="276" w:lineRule="auto"/>
        <w:ind w:left="0" w:firstLine="709"/>
        <w:contextualSpacing/>
        <w:rPr>
          <w:rFonts w:eastAsia="Calibri"/>
          <w:sz w:val="28"/>
          <w:szCs w:val="28"/>
          <w:lang w:eastAsia="ar-SA"/>
        </w:rPr>
      </w:pPr>
      <w:r w:rsidRPr="00476D6E">
        <w:rPr>
          <w:rFonts w:eastAsia="Calibri"/>
          <w:sz w:val="28"/>
          <w:szCs w:val="28"/>
          <w:lang w:eastAsia="ar-SA"/>
        </w:rPr>
        <w:t xml:space="preserve">Администрацией </w:t>
      </w:r>
      <w:r w:rsidRPr="00476D6E">
        <w:rPr>
          <w:sz w:val="28"/>
          <w:szCs w:val="28"/>
          <w:lang w:eastAsia="ar-SA"/>
        </w:rPr>
        <w:t>городского округа Тольятти</w:t>
      </w:r>
      <w:r w:rsidRPr="00476D6E">
        <w:rPr>
          <w:rFonts w:eastAsia="Calibri"/>
          <w:sz w:val="28"/>
          <w:szCs w:val="28"/>
          <w:lang w:eastAsia="ar-SA"/>
        </w:rPr>
        <w:t xml:space="preserve"> в постоянном режиме ведется мониторинг в сфере занятости населения, осуществляется информационное взаимодействие с организациями. Все свежие новости о мерах поддержки оперативно доводятся до организаций, размещаются на информационных ресурсах администрации </w:t>
      </w:r>
      <w:r w:rsidRPr="00476D6E">
        <w:rPr>
          <w:sz w:val="28"/>
          <w:szCs w:val="28"/>
          <w:lang w:eastAsia="ar-SA"/>
        </w:rPr>
        <w:t>городского округа Тольятти</w:t>
      </w:r>
      <w:r w:rsidRPr="00476D6E">
        <w:rPr>
          <w:rFonts w:eastAsia="Calibri"/>
          <w:sz w:val="28"/>
          <w:szCs w:val="28"/>
          <w:lang w:eastAsia="ar-SA"/>
        </w:rPr>
        <w:t xml:space="preserve"> и в социальных сетях. </w:t>
      </w:r>
    </w:p>
    <w:p w:rsidR="00E72F82" w:rsidRPr="006B0801" w:rsidRDefault="00E72F82" w:rsidP="00597F88">
      <w:pPr>
        <w:widowControl w:val="0"/>
        <w:suppressAutoHyphens w:val="0"/>
        <w:spacing w:line="276" w:lineRule="auto"/>
        <w:jc w:val="center"/>
        <w:rPr>
          <w:sz w:val="28"/>
          <w:szCs w:val="28"/>
          <w:lang w:eastAsia="ar-SA"/>
        </w:rPr>
      </w:pPr>
      <w:r w:rsidRPr="006B0801">
        <w:rPr>
          <w:sz w:val="28"/>
          <w:szCs w:val="28"/>
          <w:lang w:eastAsia="ru-RU"/>
        </w:rPr>
        <w:t>О</w:t>
      </w:r>
      <w:r w:rsidRPr="006B0801">
        <w:rPr>
          <w:sz w:val="28"/>
          <w:szCs w:val="28"/>
          <w:lang w:eastAsia="ar-SA"/>
        </w:rPr>
        <w:t>жидаемое выполнение прогнозных показателей в сфере занятости населения на 202</w:t>
      </w:r>
      <w:r w:rsidR="006B0801" w:rsidRPr="006B0801">
        <w:rPr>
          <w:sz w:val="28"/>
          <w:szCs w:val="28"/>
          <w:lang w:eastAsia="ar-SA"/>
        </w:rPr>
        <w:t>2</w:t>
      </w:r>
      <w:r w:rsidRPr="006B0801">
        <w:rPr>
          <w:sz w:val="28"/>
          <w:szCs w:val="28"/>
          <w:lang w:eastAsia="ar-SA"/>
        </w:rPr>
        <w:t xml:space="preserve"> год</w:t>
      </w:r>
    </w:p>
    <w:p w:rsidR="00AC469A" w:rsidRDefault="00AC469A" w:rsidP="00AF7EB6">
      <w:pPr>
        <w:widowControl w:val="0"/>
        <w:suppressAutoHyphens w:val="0"/>
        <w:spacing w:line="276" w:lineRule="auto"/>
        <w:rPr>
          <w:sz w:val="22"/>
          <w:szCs w:val="22"/>
          <w:highlight w:val="yellow"/>
          <w:vertAlign w:val="superscript"/>
          <w:lang w:eastAsia="ar-SA"/>
        </w:rPr>
      </w:pPr>
    </w:p>
    <w:tbl>
      <w:tblPr>
        <w:tblW w:w="9731" w:type="dxa"/>
        <w:tblInd w:w="-125" w:type="dxa"/>
        <w:tblLayout w:type="fixed"/>
        <w:tblLook w:val="0000" w:firstRow="0" w:lastRow="0" w:firstColumn="0" w:lastColumn="0" w:noHBand="0" w:noVBand="0"/>
      </w:tblPr>
      <w:tblGrid>
        <w:gridCol w:w="4061"/>
        <w:gridCol w:w="1559"/>
        <w:gridCol w:w="1418"/>
        <w:gridCol w:w="1276"/>
        <w:gridCol w:w="1417"/>
      </w:tblGrid>
      <w:tr w:rsidR="00AC469A" w:rsidRPr="00890AA8" w:rsidTr="00AB6D17">
        <w:trPr>
          <w:cantSplit/>
          <w:tblHeader/>
        </w:trPr>
        <w:tc>
          <w:tcPr>
            <w:tcW w:w="4061" w:type="dxa"/>
            <w:vMerge w:val="restart"/>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jc w:val="center"/>
              <w:rPr>
                <w:sz w:val="28"/>
                <w:szCs w:val="28"/>
                <w:lang w:eastAsia="ar-SA"/>
              </w:rPr>
            </w:pPr>
            <w:r w:rsidRPr="00341E54">
              <w:rPr>
                <w:sz w:val="28"/>
                <w:szCs w:val="28"/>
                <w:lang w:eastAsia="ar-SA"/>
              </w:rPr>
              <w:t>Показатели</w:t>
            </w:r>
          </w:p>
        </w:tc>
        <w:tc>
          <w:tcPr>
            <w:tcW w:w="1559" w:type="dxa"/>
            <w:vMerge w:val="restart"/>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Единица измерения</w:t>
            </w:r>
          </w:p>
        </w:tc>
        <w:tc>
          <w:tcPr>
            <w:tcW w:w="2694" w:type="dxa"/>
            <w:gridSpan w:val="2"/>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ind w:firstLine="34"/>
              <w:jc w:val="center"/>
              <w:rPr>
                <w:sz w:val="28"/>
                <w:szCs w:val="28"/>
                <w:lang w:eastAsia="ar-SA"/>
              </w:rPr>
            </w:pPr>
            <w:r w:rsidRPr="00341E54">
              <w:rPr>
                <w:sz w:val="28"/>
                <w:szCs w:val="28"/>
                <w:lang w:eastAsia="ar-SA"/>
              </w:rPr>
              <w:t>Прогноз на 2022 год</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C469A" w:rsidRPr="00476D6E" w:rsidRDefault="00AC469A" w:rsidP="00AB6D17">
            <w:pPr>
              <w:widowControl w:val="0"/>
              <w:suppressAutoHyphens w:val="0"/>
              <w:ind w:firstLine="34"/>
              <w:jc w:val="center"/>
              <w:rPr>
                <w:sz w:val="28"/>
                <w:szCs w:val="28"/>
                <w:lang w:eastAsia="ar-SA"/>
              </w:rPr>
            </w:pPr>
            <w:r w:rsidRPr="00476D6E">
              <w:rPr>
                <w:sz w:val="28"/>
                <w:szCs w:val="28"/>
                <w:lang w:eastAsia="ar-SA"/>
              </w:rPr>
              <w:t>2022 год (оценка)</w:t>
            </w:r>
          </w:p>
        </w:tc>
      </w:tr>
      <w:tr w:rsidR="00AC469A" w:rsidRPr="00890AA8" w:rsidTr="00AB6D17">
        <w:trPr>
          <w:cantSplit/>
          <w:tblHeader/>
        </w:trPr>
        <w:tc>
          <w:tcPr>
            <w:tcW w:w="4061" w:type="dxa"/>
            <w:vMerge/>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rPr>
                <w:sz w:val="28"/>
                <w:szCs w:val="28"/>
                <w:lang w:eastAsia="ar-SA"/>
              </w:rPr>
            </w:pPr>
          </w:p>
        </w:tc>
        <w:tc>
          <w:tcPr>
            <w:tcW w:w="1559" w:type="dxa"/>
            <w:vMerge/>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rPr>
                <w:sz w:val="28"/>
                <w:szCs w:val="28"/>
                <w:lang w:eastAsia="ar-SA"/>
              </w:rPr>
            </w:pPr>
          </w:p>
        </w:tc>
        <w:tc>
          <w:tcPr>
            <w:tcW w:w="1418" w:type="dxa"/>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ind w:firstLine="34"/>
              <w:jc w:val="center"/>
              <w:rPr>
                <w:sz w:val="28"/>
                <w:szCs w:val="28"/>
                <w:lang w:eastAsia="ar-SA"/>
              </w:rPr>
            </w:pPr>
            <w:r w:rsidRPr="00341E54">
              <w:rPr>
                <w:sz w:val="28"/>
                <w:szCs w:val="28"/>
                <w:lang w:eastAsia="ar-SA"/>
              </w:rPr>
              <w:t>консервативный</w:t>
            </w:r>
          </w:p>
        </w:tc>
        <w:tc>
          <w:tcPr>
            <w:tcW w:w="1276" w:type="dxa"/>
            <w:tcBorders>
              <w:top w:val="single" w:sz="4" w:space="0" w:color="000000"/>
              <w:left w:val="single" w:sz="4" w:space="0" w:color="000000"/>
              <w:bottom w:val="single" w:sz="4" w:space="0" w:color="000000"/>
            </w:tcBorders>
            <w:vAlign w:val="center"/>
          </w:tcPr>
          <w:p w:rsidR="00AC469A" w:rsidRPr="00341E54" w:rsidRDefault="00AC469A" w:rsidP="00AB6D17">
            <w:pPr>
              <w:widowControl w:val="0"/>
              <w:suppressAutoHyphens w:val="0"/>
              <w:ind w:firstLine="34"/>
              <w:jc w:val="center"/>
              <w:rPr>
                <w:sz w:val="28"/>
                <w:szCs w:val="28"/>
                <w:lang w:eastAsia="ar-SA"/>
              </w:rPr>
            </w:pPr>
            <w:r w:rsidRPr="00341E54">
              <w:rPr>
                <w:sz w:val="28"/>
                <w:szCs w:val="28"/>
                <w:lang w:eastAsia="ar-SA"/>
              </w:rPr>
              <w:t>базовый</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AC469A" w:rsidRPr="00890AA8" w:rsidRDefault="00AC469A" w:rsidP="00AB6D17">
            <w:pPr>
              <w:widowControl w:val="0"/>
              <w:suppressAutoHyphens w:val="0"/>
              <w:ind w:firstLine="34"/>
              <w:rPr>
                <w:sz w:val="28"/>
                <w:szCs w:val="28"/>
                <w:highlight w:val="yellow"/>
                <w:lang w:eastAsia="ar-SA"/>
              </w:rPr>
            </w:pP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Численность трудовых ресурсов</w:t>
            </w:r>
          </w:p>
        </w:tc>
        <w:tc>
          <w:tcPr>
            <w:tcW w:w="1559"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34"/>
              <w:jc w:val="center"/>
              <w:rPr>
                <w:sz w:val="28"/>
                <w:szCs w:val="28"/>
                <w:lang w:eastAsia="ar-SA"/>
              </w:rPr>
            </w:pPr>
            <w:r w:rsidRPr="00341E54">
              <w:rPr>
                <w:sz w:val="28"/>
                <w:szCs w:val="28"/>
                <w:lang w:eastAsia="ar-SA"/>
              </w:rPr>
              <w:t>434,6</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34"/>
              <w:jc w:val="center"/>
              <w:rPr>
                <w:sz w:val="28"/>
                <w:szCs w:val="28"/>
                <w:lang w:eastAsia="ar-SA"/>
              </w:rPr>
            </w:pPr>
            <w:r w:rsidRPr="00341E54">
              <w:rPr>
                <w:sz w:val="28"/>
                <w:szCs w:val="28"/>
                <w:lang w:eastAsia="ar-SA"/>
              </w:rPr>
              <w:t>434,8</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7D50F5" w:rsidRDefault="00AC469A" w:rsidP="00AB6D17">
            <w:pPr>
              <w:widowControl w:val="0"/>
              <w:suppressAutoHyphens w:val="0"/>
              <w:ind w:firstLine="34"/>
              <w:jc w:val="center"/>
              <w:rPr>
                <w:sz w:val="28"/>
                <w:szCs w:val="28"/>
                <w:lang w:eastAsia="ar-SA"/>
              </w:rPr>
            </w:pPr>
            <w:r w:rsidRPr="007D50F5">
              <w:rPr>
                <w:sz w:val="28"/>
                <w:szCs w:val="28"/>
                <w:lang w:eastAsia="ar-SA"/>
              </w:rPr>
              <w:t>438,0</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в том числе:</w:t>
            </w:r>
          </w:p>
        </w:tc>
        <w:tc>
          <w:tcPr>
            <w:tcW w:w="1559"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hanging="17"/>
              <w:jc w:val="center"/>
              <w:rPr>
                <w:sz w:val="28"/>
                <w:szCs w:val="28"/>
                <w:lang w:eastAsia="ar-SA"/>
              </w:rPr>
            </w:pP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7D50F5" w:rsidRDefault="00AC469A" w:rsidP="00AB6D17">
            <w:pPr>
              <w:widowControl w:val="0"/>
              <w:suppressAutoHyphens w:val="0"/>
              <w:ind w:firstLine="0"/>
              <w:jc w:val="center"/>
              <w:rPr>
                <w:sz w:val="28"/>
                <w:szCs w:val="28"/>
                <w:lang w:eastAsia="ar-SA"/>
              </w:rPr>
            </w:pP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трудоспособное население в трудоспособном возрасте</w:t>
            </w:r>
          </w:p>
        </w:tc>
        <w:tc>
          <w:tcPr>
            <w:tcW w:w="1559"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385,3</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385,4</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7D50F5" w:rsidRDefault="00AC469A" w:rsidP="00AB6D17">
            <w:pPr>
              <w:widowControl w:val="0"/>
              <w:suppressAutoHyphens w:val="0"/>
              <w:ind w:firstLine="0"/>
              <w:jc w:val="center"/>
              <w:rPr>
                <w:sz w:val="28"/>
                <w:szCs w:val="28"/>
                <w:lang w:eastAsia="ar-SA"/>
              </w:rPr>
            </w:pPr>
            <w:r w:rsidRPr="007D50F5">
              <w:rPr>
                <w:sz w:val="28"/>
                <w:szCs w:val="28"/>
                <w:lang w:eastAsia="ar-SA"/>
              </w:rPr>
              <w:t>383,8</w:t>
            </w:r>
          </w:p>
        </w:tc>
      </w:tr>
      <w:tr w:rsidR="00AC469A" w:rsidRPr="007D50F5"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 xml:space="preserve">иностранные трудовые мигранты </w:t>
            </w:r>
          </w:p>
        </w:tc>
        <w:tc>
          <w:tcPr>
            <w:tcW w:w="1559"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12,9</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13,0</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7D50F5" w:rsidRDefault="00AC469A" w:rsidP="00AB6D17">
            <w:pPr>
              <w:widowControl w:val="0"/>
              <w:suppressAutoHyphens w:val="0"/>
              <w:ind w:firstLine="0"/>
              <w:jc w:val="center"/>
              <w:rPr>
                <w:sz w:val="28"/>
                <w:szCs w:val="28"/>
                <w:lang w:eastAsia="ar-SA"/>
              </w:rPr>
            </w:pPr>
            <w:r w:rsidRPr="007D50F5">
              <w:rPr>
                <w:sz w:val="28"/>
                <w:szCs w:val="28"/>
                <w:lang w:eastAsia="ar-SA"/>
              </w:rPr>
              <w:t>17,2</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лица старше и моложе трудоспособного возраста, занятые в экономике</w:t>
            </w:r>
          </w:p>
        </w:tc>
        <w:tc>
          <w:tcPr>
            <w:tcW w:w="1559"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36,4</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36,4</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890AA8" w:rsidRDefault="00AC469A" w:rsidP="00AB6D17">
            <w:pPr>
              <w:widowControl w:val="0"/>
              <w:suppressAutoHyphens w:val="0"/>
              <w:ind w:firstLine="0"/>
              <w:jc w:val="center"/>
              <w:rPr>
                <w:sz w:val="28"/>
                <w:szCs w:val="28"/>
                <w:highlight w:val="yellow"/>
                <w:lang w:eastAsia="ar-SA"/>
              </w:rPr>
            </w:pPr>
            <w:r w:rsidRPr="00BF36D2">
              <w:rPr>
                <w:sz w:val="28"/>
                <w:szCs w:val="28"/>
                <w:lang w:eastAsia="ar-SA"/>
              </w:rPr>
              <w:t>37,0</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Распределение трудовых ресурсов:</w:t>
            </w:r>
          </w:p>
        </w:tc>
        <w:tc>
          <w:tcPr>
            <w:tcW w:w="1559"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890AA8" w:rsidRDefault="00AC469A" w:rsidP="00AB6D17">
            <w:pPr>
              <w:widowControl w:val="0"/>
              <w:suppressAutoHyphens w:val="0"/>
              <w:ind w:firstLine="0"/>
              <w:jc w:val="center"/>
              <w:rPr>
                <w:sz w:val="28"/>
                <w:szCs w:val="28"/>
                <w:highlight w:val="yellow"/>
                <w:lang w:eastAsia="ar-SA"/>
              </w:rPr>
            </w:pP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среднегодовая численность занятых в экономике</w:t>
            </w:r>
          </w:p>
        </w:tc>
        <w:tc>
          <w:tcPr>
            <w:tcW w:w="1559"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357,5</w:t>
            </w:r>
          </w:p>
        </w:tc>
        <w:tc>
          <w:tcPr>
            <w:tcW w:w="1276" w:type="dxa"/>
            <w:tcBorders>
              <w:top w:val="single" w:sz="4" w:space="0" w:color="000000"/>
              <w:left w:val="single" w:sz="4" w:space="0" w:color="000000"/>
              <w:bottom w:val="single" w:sz="4" w:space="0" w:color="000000"/>
            </w:tcBorders>
            <w:vAlign w:val="bottom"/>
          </w:tcPr>
          <w:p w:rsidR="00AC469A" w:rsidRPr="00BF36D2" w:rsidRDefault="00AC469A" w:rsidP="00AB6D17">
            <w:pPr>
              <w:widowControl w:val="0"/>
              <w:suppressAutoHyphens w:val="0"/>
              <w:ind w:firstLine="0"/>
              <w:jc w:val="center"/>
              <w:rPr>
                <w:sz w:val="28"/>
                <w:szCs w:val="28"/>
                <w:lang w:eastAsia="ar-SA"/>
              </w:rPr>
            </w:pPr>
            <w:r w:rsidRPr="00BF36D2">
              <w:rPr>
                <w:sz w:val="28"/>
                <w:szCs w:val="28"/>
                <w:lang w:eastAsia="ar-SA"/>
              </w:rPr>
              <w:t>359,0</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BF36D2" w:rsidRDefault="00AC469A" w:rsidP="00AB6D17">
            <w:pPr>
              <w:widowControl w:val="0"/>
              <w:suppressAutoHyphens w:val="0"/>
              <w:ind w:firstLine="0"/>
              <w:jc w:val="center"/>
              <w:rPr>
                <w:sz w:val="28"/>
                <w:szCs w:val="28"/>
                <w:lang w:eastAsia="ar-SA"/>
              </w:rPr>
            </w:pPr>
            <w:r w:rsidRPr="00BF36D2">
              <w:rPr>
                <w:sz w:val="28"/>
                <w:szCs w:val="28"/>
                <w:lang w:eastAsia="ar-SA"/>
              </w:rPr>
              <w:t>351,4</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учащиеся в трудоспособном возрасте, обучающиеся с отрывом производства</w:t>
            </w:r>
          </w:p>
        </w:tc>
        <w:tc>
          <w:tcPr>
            <w:tcW w:w="1559"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26,2</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26,3</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890AA8" w:rsidRDefault="00AC469A" w:rsidP="00AB6D17">
            <w:pPr>
              <w:widowControl w:val="0"/>
              <w:suppressAutoHyphens w:val="0"/>
              <w:ind w:firstLine="0"/>
              <w:jc w:val="center"/>
              <w:rPr>
                <w:sz w:val="28"/>
                <w:szCs w:val="28"/>
                <w:highlight w:val="yellow"/>
                <w:lang w:eastAsia="ar-SA"/>
              </w:rPr>
            </w:pPr>
            <w:r w:rsidRPr="00BF36D2">
              <w:rPr>
                <w:sz w:val="28"/>
                <w:szCs w:val="28"/>
                <w:lang w:eastAsia="ar-SA"/>
              </w:rPr>
              <w:t>35,5</w:t>
            </w:r>
            <w:r w:rsidR="00EE2A78">
              <w:rPr>
                <w:sz w:val="28"/>
                <w:szCs w:val="28"/>
                <w:lang w:eastAsia="ar-SA"/>
              </w:rPr>
              <w:t>*</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численность безработных, зарегистрированных в службе занятости населения</w:t>
            </w:r>
          </w:p>
        </w:tc>
        <w:tc>
          <w:tcPr>
            <w:tcW w:w="1559"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4,4</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3,7</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BF36D2" w:rsidRDefault="00AC469A" w:rsidP="00AB6D17">
            <w:pPr>
              <w:widowControl w:val="0"/>
              <w:suppressAutoHyphens w:val="0"/>
              <w:ind w:firstLine="0"/>
              <w:jc w:val="center"/>
              <w:rPr>
                <w:sz w:val="28"/>
                <w:szCs w:val="28"/>
                <w:lang w:eastAsia="ar-SA"/>
              </w:rPr>
            </w:pPr>
            <w:r w:rsidRPr="00BF36D2">
              <w:rPr>
                <w:sz w:val="28"/>
                <w:szCs w:val="28"/>
                <w:lang w:eastAsia="ar-SA"/>
              </w:rPr>
              <w:t>3,1</w:t>
            </w:r>
          </w:p>
        </w:tc>
      </w:tr>
      <w:tr w:rsidR="00AC469A" w:rsidRPr="00890AA8" w:rsidTr="00AB6D17">
        <w:trPr>
          <w:trHeight w:val="311"/>
        </w:trPr>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прочие категории лиц в трудоспособном возрасте, не занятые трудовой деятельностью и учебой</w:t>
            </w:r>
          </w:p>
        </w:tc>
        <w:tc>
          <w:tcPr>
            <w:tcW w:w="1559"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46,5</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45,8</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BF36D2" w:rsidRDefault="00AC469A" w:rsidP="00AB6D17">
            <w:pPr>
              <w:widowControl w:val="0"/>
              <w:suppressAutoHyphens w:val="0"/>
              <w:ind w:firstLine="0"/>
              <w:jc w:val="center"/>
              <w:rPr>
                <w:sz w:val="28"/>
                <w:szCs w:val="28"/>
                <w:lang w:eastAsia="ar-SA"/>
              </w:rPr>
            </w:pPr>
            <w:r w:rsidRPr="00BF36D2">
              <w:rPr>
                <w:sz w:val="28"/>
                <w:szCs w:val="28"/>
                <w:lang w:eastAsia="ar-SA"/>
              </w:rPr>
              <w:t>48,0</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Уровень официальной безработицы относительно населения в трудоспособном возрасте (среднегодовой)</w:t>
            </w:r>
          </w:p>
        </w:tc>
        <w:tc>
          <w:tcPr>
            <w:tcW w:w="1559"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1,10</w:t>
            </w:r>
          </w:p>
        </w:tc>
        <w:tc>
          <w:tcPr>
            <w:tcW w:w="1276"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0,93</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890AA8" w:rsidRDefault="00AC469A" w:rsidP="00AB6D17">
            <w:pPr>
              <w:widowControl w:val="0"/>
              <w:suppressAutoHyphens w:val="0"/>
              <w:ind w:firstLine="0"/>
              <w:jc w:val="center"/>
              <w:rPr>
                <w:sz w:val="28"/>
                <w:szCs w:val="28"/>
                <w:highlight w:val="yellow"/>
                <w:lang w:eastAsia="ar-SA"/>
              </w:rPr>
            </w:pPr>
            <w:r w:rsidRPr="00BF36D2">
              <w:rPr>
                <w:sz w:val="28"/>
                <w:szCs w:val="28"/>
                <w:lang w:eastAsia="ar-SA"/>
              </w:rPr>
              <w:t>0,79</w:t>
            </w:r>
          </w:p>
        </w:tc>
      </w:tr>
      <w:tr w:rsidR="00AC469A" w:rsidRPr="00890AA8" w:rsidTr="00AB6D17">
        <w:tc>
          <w:tcPr>
            <w:tcW w:w="4061" w:type="dxa"/>
            <w:tcBorders>
              <w:top w:val="single" w:sz="4" w:space="0" w:color="000000"/>
              <w:left w:val="single" w:sz="4" w:space="0" w:color="000000"/>
              <w:bottom w:val="single" w:sz="4" w:space="0" w:color="000000"/>
            </w:tcBorders>
          </w:tcPr>
          <w:p w:rsidR="00AC469A" w:rsidRPr="00341E54" w:rsidRDefault="00AC469A" w:rsidP="00AB6D17">
            <w:pPr>
              <w:widowControl w:val="0"/>
              <w:suppressAutoHyphens w:val="0"/>
              <w:ind w:hanging="17"/>
              <w:jc w:val="left"/>
              <w:rPr>
                <w:sz w:val="28"/>
                <w:szCs w:val="28"/>
                <w:lang w:eastAsia="ar-SA"/>
              </w:rPr>
            </w:pPr>
            <w:r w:rsidRPr="00341E54">
              <w:rPr>
                <w:sz w:val="28"/>
                <w:szCs w:val="28"/>
                <w:lang w:eastAsia="ar-SA"/>
              </w:rPr>
              <w:t>Среднесписочная численность работников организаций, не относящихся к субъектам малого предпринимательства (без внешних совместителей)</w:t>
            </w:r>
          </w:p>
        </w:tc>
        <w:tc>
          <w:tcPr>
            <w:tcW w:w="1559"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hanging="17"/>
              <w:jc w:val="center"/>
              <w:rPr>
                <w:sz w:val="28"/>
                <w:szCs w:val="28"/>
                <w:lang w:eastAsia="ar-SA"/>
              </w:rPr>
            </w:pPr>
            <w:r w:rsidRPr="00341E54">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rsidR="00AC469A" w:rsidRPr="00341E54" w:rsidRDefault="00AC469A" w:rsidP="00AB6D17">
            <w:pPr>
              <w:widowControl w:val="0"/>
              <w:suppressAutoHyphens w:val="0"/>
              <w:ind w:firstLine="0"/>
              <w:jc w:val="center"/>
              <w:rPr>
                <w:sz w:val="28"/>
                <w:szCs w:val="28"/>
                <w:lang w:eastAsia="ar-SA"/>
              </w:rPr>
            </w:pPr>
            <w:r w:rsidRPr="00341E54">
              <w:rPr>
                <w:sz w:val="28"/>
                <w:szCs w:val="28"/>
                <w:lang w:eastAsia="ar-SA"/>
              </w:rPr>
              <w:t>149,5</w:t>
            </w:r>
          </w:p>
        </w:tc>
        <w:tc>
          <w:tcPr>
            <w:tcW w:w="1276" w:type="dxa"/>
            <w:tcBorders>
              <w:top w:val="single" w:sz="4" w:space="0" w:color="000000"/>
              <w:left w:val="single" w:sz="4" w:space="0" w:color="000000"/>
              <w:bottom w:val="single" w:sz="4" w:space="0" w:color="000000"/>
            </w:tcBorders>
            <w:vAlign w:val="bottom"/>
          </w:tcPr>
          <w:p w:rsidR="00AC469A" w:rsidRPr="00BF36D2" w:rsidRDefault="00AC469A" w:rsidP="00AB6D17">
            <w:pPr>
              <w:widowControl w:val="0"/>
              <w:suppressAutoHyphens w:val="0"/>
              <w:ind w:firstLine="0"/>
              <w:jc w:val="center"/>
              <w:rPr>
                <w:sz w:val="28"/>
                <w:szCs w:val="28"/>
                <w:lang w:eastAsia="ar-SA"/>
              </w:rPr>
            </w:pPr>
            <w:r w:rsidRPr="00BF36D2">
              <w:rPr>
                <w:sz w:val="28"/>
                <w:szCs w:val="28"/>
                <w:lang w:eastAsia="ar-SA"/>
              </w:rPr>
              <w:t>150,5</w:t>
            </w:r>
          </w:p>
        </w:tc>
        <w:tc>
          <w:tcPr>
            <w:tcW w:w="1417" w:type="dxa"/>
            <w:tcBorders>
              <w:top w:val="single" w:sz="4" w:space="0" w:color="000000"/>
              <w:left w:val="single" w:sz="4" w:space="0" w:color="000000"/>
              <w:bottom w:val="single" w:sz="4" w:space="0" w:color="000000"/>
              <w:right w:val="single" w:sz="4" w:space="0" w:color="000000"/>
            </w:tcBorders>
            <w:vAlign w:val="bottom"/>
          </w:tcPr>
          <w:p w:rsidR="00AC469A" w:rsidRPr="00BF36D2" w:rsidRDefault="00AC469A" w:rsidP="00AB6D17">
            <w:pPr>
              <w:widowControl w:val="0"/>
              <w:suppressAutoHyphens w:val="0"/>
              <w:ind w:firstLine="0"/>
              <w:jc w:val="center"/>
              <w:rPr>
                <w:sz w:val="28"/>
                <w:szCs w:val="28"/>
                <w:lang w:eastAsia="ar-SA"/>
              </w:rPr>
            </w:pPr>
            <w:r w:rsidRPr="00BF36D2">
              <w:rPr>
                <w:sz w:val="28"/>
                <w:szCs w:val="28"/>
                <w:lang w:eastAsia="ar-SA"/>
              </w:rPr>
              <w:t>150,5</w:t>
            </w:r>
          </w:p>
        </w:tc>
      </w:tr>
    </w:tbl>
    <w:p w:rsidR="00385123" w:rsidRPr="00EE2A78" w:rsidRDefault="00EE2A78" w:rsidP="00AC469A">
      <w:pPr>
        <w:widowControl w:val="0"/>
        <w:suppressAutoHyphens w:val="0"/>
        <w:spacing w:line="276" w:lineRule="auto"/>
        <w:ind w:firstLine="0"/>
        <w:rPr>
          <w:szCs w:val="24"/>
          <w:lang w:eastAsia="ar-SA"/>
        </w:rPr>
      </w:pPr>
      <w:r w:rsidRPr="00EE2A78">
        <w:rPr>
          <w:szCs w:val="24"/>
          <w:lang w:eastAsia="ar-SA"/>
        </w:rPr>
        <w:t>*- в условиях отсутствия статистических данных по показателю, в его расчете применена методика, отличная от ранее используемой. Сведения не сопоставимы.</w:t>
      </w:r>
    </w:p>
    <w:p w:rsidR="00FD46E0" w:rsidRDefault="00FD46E0" w:rsidP="00C6326F">
      <w:pPr>
        <w:widowControl w:val="0"/>
        <w:suppressAutoHyphens w:val="0"/>
        <w:spacing w:line="276" w:lineRule="auto"/>
        <w:rPr>
          <w:sz w:val="28"/>
          <w:szCs w:val="28"/>
          <w:lang w:eastAsia="ar-SA"/>
        </w:rPr>
      </w:pPr>
    </w:p>
    <w:p w:rsidR="00C6326F" w:rsidRPr="00890AA8" w:rsidRDefault="00C6326F" w:rsidP="00C6326F">
      <w:pPr>
        <w:widowControl w:val="0"/>
        <w:suppressAutoHyphens w:val="0"/>
        <w:spacing w:line="276" w:lineRule="auto"/>
        <w:rPr>
          <w:sz w:val="28"/>
          <w:szCs w:val="28"/>
          <w:highlight w:val="yellow"/>
          <w:lang w:eastAsia="ar-SA"/>
        </w:rPr>
      </w:pPr>
      <w:r w:rsidRPr="00A373C4">
        <w:rPr>
          <w:sz w:val="28"/>
          <w:szCs w:val="28"/>
          <w:lang w:eastAsia="ar-SA"/>
        </w:rPr>
        <w:t xml:space="preserve">Оценка численности трудовых ресурсов на 2022 год скорректирована в сторону увеличения относительно </w:t>
      </w:r>
      <w:r w:rsidR="00EE2A78">
        <w:rPr>
          <w:sz w:val="28"/>
          <w:szCs w:val="28"/>
          <w:lang w:eastAsia="ar-SA"/>
        </w:rPr>
        <w:t>прогноза</w:t>
      </w:r>
      <w:r w:rsidRPr="00A373C4">
        <w:rPr>
          <w:sz w:val="28"/>
          <w:szCs w:val="28"/>
          <w:lang w:eastAsia="ar-SA"/>
        </w:rPr>
        <w:t xml:space="preserve"> 2021 год</w:t>
      </w:r>
      <w:r w:rsidR="00EE2A78">
        <w:rPr>
          <w:sz w:val="28"/>
          <w:szCs w:val="28"/>
          <w:lang w:eastAsia="ar-SA"/>
        </w:rPr>
        <w:t xml:space="preserve">а с учетом полученных статистических данных за 2021 год. Так, </w:t>
      </w:r>
      <w:r w:rsidR="000A4F88">
        <w:rPr>
          <w:sz w:val="28"/>
          <w:szCs w:val="28"/>
          <w:lang w:eastAsia="ar-SA"/>
        </w:rPr>
        <w:t xml:space="preserve">фактическая </w:t>
      </w:r>
      <w:r w:rsidR="00EE2A78">
        <w:rPr>
          <w:sz w:val="28"/>
          <w:szCs w:val="28"/>
          <w:lang w:eastAsia="ar-SA"/>
        </w:rPr>
        <w:t xml:space="preserve">численность иностранных трудовых мигрантов </w:t>
      </w:r>
      <w:r w:rsidR="000A4F88">
        <w:rPr>
          <w:sz w:val="28"/>
          <w:szCs w:val="28"/>
          <w:lang w:eastAsia="ar-SA"/>
        </w:rPr>
        <w:t>за 2021 год сложилась выше</w:t>
      </w:r>
      <w:r w:rsidR="000A4F88" w:rsidRPr="000A4F88">
        <w:rPr>
          <w:sz w:val="28"/>
          <w:szCs w:val="28"/>
          <w:lang w:eastAsia="ar-SA"/>
        </w:rPr>
        <w:t xml:space="preserve"> </w:t>
      </w:r>
      <w:r w:rsidR="000A4F88">
        <w:rPr>
          <w:sz w:val="28"/>
          <w:szCs w:val="28"/>
          <w:lang w:eastAsia="ar-SA"/>
        </w:rPr>
        <w:t xml:space="preserve">на 4 тыс. человек, чем ожидалось. Ранее предполагалось, что рост данной </w:t>
      </w:r>
      <w:r w:rsidR="00370909">
        <w:rPr>
          <w:sz w:val="28"/>
          <w:szCs w:val="28"/>
          <w:lang w:eastAsia="ar-SA"/>
        </w:rPr>
        <w:t>категории трудовых ресурсов буду</w:t>
      </w:r>
      <w:r w:rsidR="000A4F88">
        <w:rPr>
          <w:sz w:val="28"/>
          <w:szCs w:val="28"/>
          <w:lang w:eastAsia="ar-SA"/>
        </w:rPr>
        <w:t>т</w:t>
      </w:r>
      <w:r w:rsidR="00370909">
        <w:rPr>
          <w:sz w:val="28"/>
          <w:szCs w:val="28"/>
          <w:lang w:eastAsia="ar-SA"/>
        </w:rPr>
        <w:t xml:space="preserve"> продолжать</w:t>
      </w:r>
      <w:r w:rsidR="000A4F88">
        <w:rPr>
          <w:sz w:val="28"/>
          <w:szCs w:val="28"/>
          <w:lang w:eastAsia="ar-SA"/>
        </w:rPr>
        <w:t xml:space="preserve"> сдерживать ограничительные меры, связанные со сложной эпидемиологической ситуацией.  </w:t>
      </w:r>
      <w:r w:rsidR="00370909">
        <w:rPr>
          <w:sz w:val="28"/>
          <w:szCs w:val="28"/>
          <w:lang w:eastAsia="ar-SA"/>
        </w:rPr>
        <w:t>Снижение прогнозных показателей численности трудоспособного населения трудоспособного возраста и занятых в экономике граждан на 2022 год связано с ухудшением общей экономической ситуации, ростом незанятого населения, увеличением миграционного оттока.</w:t>
      </w:r>
    </w:p>
    <w:p w:rsidR="00C6326F" w:rsidRPr="005565C0" w:rsidRDefault="00C6326F" w:rsidP="00C6326F">
      <w:pPr>
        <w:widowControl w:val="0"/>
        <w:suppressAutoHyphens w:val="0"/>
        <w:spacing w:line="276" w:lineRule="auto"/>
        <w:rPr>
          <w:sz w:val="28"/>
          <w:szCs w:val="28"/>
          <w:lang w:eastAsia="ar-SA"/>
        </w:rPr>
      </w:pPr>
      <w:r w:rsidRPr="005565C0">
        <w:rPr>
          <w:sz w:val="28"/>
          <w:szCs w:val="28"/>
          <w:lang w:eastAsia="ar-SA"/>
        </w:rPr>
        <w:t xml:space="preserve">Оценочные значения показателей безработицы на 2022 год, напротив, существенно снижены Центром занятости </w:t>
      </w:r>
      <w:r w:rsidR="000A4F88">
        <w:rPr>
          <w:sz w:val="28"/>
          <w:szCs w:val="28"/>
          <w:lang w:eastAsia="ar-SA"/>
        </w:rPr>
        <w:t>населения города</w:t>
      </w:r>
      <w:r w:rsidRPr="005565C0">
        <w:rPr>
          <w:sz w:val="28"/>
          <w:szCs w:val="28"/>
          <w:lang w:eastAsia="ar-SA"/>
        </w:rPr>
        <w:t xml:space="preserve">. </w:t>
      </w:r>
    </w:p>
    <w:p w:rsidR="00A50BA4" w:rsidRPr="00E22761" w:rsidRDefault="00815CAB" w:rsidP="00385123">
      <w:pPr>
        <w:pStyle w:val="3"/>
        <w:spacing w:before="120"/>
        <w:rPr>
          <w:sz w:val="28"/>
          <w:szCs w:val="28"/>
        </w:rPr>
      </w:pPr>
      <w:r w:rsidRPr="00E22761">
        <w:rPr>
          <w:sz w:val="28"/>
          <w:szCs w:val="28"/>
        </w:rPr>
        <w:t xml:space="preserve">  </w:t>
      </w:r>
      <w:r w:rsidR="00A50BA4" w:rsidRPr="00E22761">
        <w:rPr>
          <w:sz w:val="28"/>
          <w:szCs w:val="28"/>
        </w:rPr>
        <w:t>Заработная плата</w:t>
      </w:r>
      <w:bookmarkStart w:id="9" w:name="зарплата"/>
      <w:bookmarkEnd w:id="9"/>
    </w:p>
    <w:p w:rsidR="00F82EB2" w:rsidRDefault="00F82EB2" w:rsidP="00FD46E0">
      <w:pPr>
        <w:suppressAutoHyphens w:val="0"/>
        <w:spacing w:before="120" w:line="276" w:lineRule="auto"/>
        <w:rPr>
          <w:sz w:val="28"/>
          <w:szCs w:val="28"/>
          <w:lang w:eastAsia="ar-SA"/>
        </w:rPr>
      </w:pPr>
      <w:r w:rsidRPr="00F76B4C">
        <w:rPr>
          <w:sz w:val="28"/>
          <w:szCs w:val="28"/>
          <w:lang w:eastAsia="ar-SA"/>
        </w:rPr>
        <w:t xml:space="preserve">В соответствии с законодательством Российской Федерации расчет показателя «Доходы населения» и большинства его составляющих осуществляется Федеральной службой государственной статистики (Росстат, Самарастат) в разрезе регионов без разбивки по муниципальным образованиям. </w:t>
      </w:r>
    </w:p>
    <w:p w:rsidR="00C738DC" w:rsidRPr="00104D1B" w:rsidRDefault="00C738DC" w:rsidP="00FD46E0">
      <w:pPr>
        <w:spacing w:line="276" w:lineRule="auto"/>
        <w:ind w:right="-2" w:firstLine="720"/>
        <w:rPr>
          <w:sz w:val="28"/>
          <w:szCs w:val="28"/>
        </w:rPr>
      </w:pPr>
      <w:r w:rsidRPr="0001226D">
        <w:rPr>
          <w:sz w:val="28"/>
          <w:szCs w:val="28"/>
          <w:lang w:eastAsia="ar-SA"/>
        </w:rPr>
        <w:t xml:space="preserve">По данным </w:t>
      </w:r>
      <w:r w:rsidRPr="007E1E84">
        <w:rPr>
          <w:sz w:val="28"/>
          <w:szCs w:val="28"/>
          <w:lang w:eastAsia="ar-SA"/>
        </w:rPr>
        <w:t>Самарастата, в первом полугодии текущего года объем денежных доходов населения Самарской области сложился в размере 627,4 млрд. руб</w:t>
      </w:r>
      <w:r w:rsidR="004B5FAC">
        <w:rPr>
          <w:sz w:val="28"/>
          <w:szCs w:val="28"/>
          <w:lang w:eastAsia="ar-SA"/>
        </w:rPr>
        <w:t>.</w:t>
      </w:r>
      <w:r w:rsidRPr="007E1E84">
        <w:rPr>
          <w:sz w:val="28"/>
          <w:szCs w:val="28"/>
          <w:lang w:eastAsia="ar-SA"/>
        </w:rPr>
        <w:t xml:space="preserve"> и увеличился на 12,7% по сравнению с соответствующим периодом 2021 года. Среднедушевые денежные доходы населения Самарской области в I полугодии 2022 года составили</w:t>
      </w:r>
      <w:r w:rsidRPr="00D81721">
        <w:rPr>
          <w:sz w:val="28"/>
          <w:szCs w:val="28"/>
          <w:lang w:eastAsia="ar-SA"/>
        </w:rPr>
        <w:t xml:space="preserve"> 36 371 рубл</w:t>
      </w:r>
      <w:r w:rsidR="00FD46E0">
        <w:rPr>
          <w:sz w:val="28"/>
          <w:szCs w:val="28"/>
          <w:lang w:eastAsia="ar-SA"/>
        </w:rPr>
        <w:t xml:space="preserve">ь </w:t>
      </w:r>
      <w:r w:rsidRPr="00D81721">
        <w:rPr>
          <w:sz w:val="28"/>
          <w:szCs w:val="28"/>
          <w:lang w:eastAsia="ar-SA"/>
        </w:rPr>
        <w:t xml:space="preserve">(в </w:t>
      </w:r>
      <w:r w:rsidR="003146DE">
        <w:rPr>
          <w:rFonts w:eastAsiaTheme="minorEastAsia"/>
          <w:sz w:val="28"/>
          <w:szCs w:val="28"/>
          <w:lang w:val="en-US" w:eastAsia="ru-RU"/>
        </w:rPr>
        <w:t>I</w:t>
      </w:r>
      <w:r w:rsidR="003146DE" w:rsidRPr="00D81721">
        <w:rPr>
          <w:sz w:val="28"/>
          <w:szCs w:val="28"/>
          <w:lang w:eastAsia="ar-SA"/>
        </w:rPr>
        <w:t xml:space="preserve"> </w:t>
      </w:r>
      <w:r w:rsidRPr="00D81721">
        <w:rPr>
          <w:sz w:val="28"/>
          <w:szCs w:val="28"/>
          <w:lang w:eastAsia="ar-SA"/>
        </w:rPr>
        <w:t xml:space="preserve">полугодии 2021 года – </w:t>
      </w:r>
      <w:r w:rsidRPr="00D81721">
        <w:rPr>
          <w:sz w:val="28"/>
          <w:szCs w:val="28"/>
        </w:rPr>
        <w:t>31 74</w:t>
      </w:r>
      <w:r w:rsidR="00FD46E0">
        <w:rPr>
          <w:sz w:val="28"/>
          <w:szCs w:val="28"/>
        </w:rPr>
        <w:t>7</w:t>
      </w:r>
      <w:r w:rsidRPr="00D81721">
        <w:rPr>
          <w:sz w:val="28"/>
          <w:szCs w:val="28"/>
        </w:rPr>
        <w:t xml:space="preserve"> рублей).</w:t>
      </w:r>
      <w:r>
        <w:rPr>
          <w:sz w:val="28"/>
          <w:szCs w:val="28"/>
        </w:rPr>
        <w:t xml:space="preserve"> Реальные денежные доходы населения (с учётом индекса инфляции) составили 97,1% к уровню соответствующего периода прошлого года.</w:t>
      </w:r>
    </w:p>
    <w:p w:rsidR="00C738DC" w:rsidRPr="000E104A" w:rsidRDefault="00C738DC" w:rsidP="00FD46E0">
      <w:pPr>
        <w:spacing w:line="276" w:lineRule="auto"/>
        <w:ind w:right="-2"/>
        <w:rPr>
          <w:sz w:val="28"/>
          <w:szCs w:val="28"/>
          <w:lang w:eastAsia="ar-SA"/>
        </w:rPr>
      </w:pPr>
      <w:r w:rsidRPr="000E104A">
        <w:rPr>
          <w:sz w:val="28"/>
          <w:szCs w:val="28"/>
          <w:lang w:eastAsia="ar-SA"/>
        </w:rPr>
        <w:t xml:space="preserve">В структуре денежных доходов населения во втором квартале 2022 года по сравнению с соответствующим периодом 2021 года наблюдался рост доли доходов от предпринимательской деятельности и прочих денежных поступлений и снижение доли оплаты труда и социальных выплат.  </w:t>
      </w:r>
    </w:p>
    <w:p w:rsidR="00F82EB2" w:rsidRDefault="00F82EB2" w:rsidP="00FD46E0">
      <w:pPr>
        <w:spacing w:line="276" w:lineRule="auto"/>
        <w:ind w:right="-2" w:firstLine="720"/>
        <w:rPr>
          <w:sz w:val="28"/>
          <w:szCs w:val="28"/>
          <w:lang w:eastAsia="ar-SA"/>
        </w:rPr>
      </w:pPr>
      <w:r w:rsidRPr="00FC0B73">
        <w:rPr>
          <w:sz w:val="28"/>
          <w:szCs w:val="28"/>
          <w:lang w:eastAsia="ar-SA"/>
        </w:rPr>
        <w:t>Денежные расходы населения в первом полугодии 2022 года составили 614,4 млрд. руб</w:t>
      </w:r>
      <w:r w:rsidR="004B5FAC">
        <w:rPr>
          <w:sz w:val="28"/>
          <w:szCs w:val="28"/>
          <w:lang w:eastAsia="ar-SA"/>
        </w:rPr>
        <w:t>.</w:t>
      </w:r>
      <w:r w:rsidRPr="00FC0B73">
        <w:rPr>
          <w:sz w:val="28"/>
          <w:szCs w:val="28"/>
          <w:lang w:eastAsia="ar-SA"/>
        </w:rPr>
        <w:t xml:space="preserve"> и увеличились на 10,2% по сравнению с первым полугодием прошлого года. В январе-июне 2022 года население израсходовало на покупку товаров и оплату услуг 534,1 млрд. руб</w:t>
      </w:r>
      <w:r w:rsidR="004B5FAC">
        <w:rPr>
          <w:sz w:val="28"/>
          <w:szCs w:val="28"/>
          <w:lang w:eastAsia="ar-SA"/>
        </w:rPr>
        <w:t>.</w:t>
      </w:r>
      <w:r w:rsidRPr="00FC0B73">
        <w:rPr>
          <w:sz w:val="28"/>
          <w:szCs w:val="28"/>
          <w:lang w:eastAsia="ar-SA"/>
        </w:rPr>
        <w:t>, что на 10,6</w:t>
      </w:r>
      <w:r w:rsidRPr="00813120">
        <w:rPr>
          <w:sz w:val="28"/>
          <w:szCs w:val="28"/>
          <w:lang w:eastAsia="ar-SA"/>
        </w:rPr>
        <w:t>% больше, чем за аналогичный период 2021 года. За этот же период наблюдалось уменьшение сбережений у населения, которое составило 13 млрд. руб.</w:t>
      </w:r>
      <w:r w:rsidRPr="00104D1B">
        <w:rPr>
          <w:sz w:val="28"/>
          <w:szCs w:val="28"/>
          <w:lang w:eastAsia="ar-SA"/>
        </w:rPr>
        <w:t xml:space="preserve"> </w:t>
      </w:r>
    </w:p>
    <w:p w:rsidR="00F82EB2" w:rsidRDefault="00F82EB2" w:rsidP="00FD46E0">
      <w:pPr>
        <w:spacing w:line="276" w:lineRule="auto"/>
        <w:rPr>
          <w:sz w:val="28"/>
          <w:szCs w:val="28"/>
          <w:lang w:eastAsia="ar-SA"/>
        </w:rPr>
      </w:pPr>
      <w:r w:rsidRPr="00F97BF1">
        <w:rPr>
          <w:sz w:val="28"/>
          <w:szCs w:val="28"/>
          <w:lang w:eastAsia="ar-SA"/>
        </w:rPr>
        <w:t xml:space="preserve">На муниципальном уровне осуществляется расчет показателя среднемесячной номинальной заработной  платы работников организаций, не относящихся к субъектам малого предпринимательства. </w:t>
      </w:r>
    </w:p>
    <w:p w:rsidR="00F82EB2" w:rsidRPr="00F97BF1" w:rsidRDefault="009230B1" w:rsidP="0024684D">
      <w:pPr>
        <w:widowControl w:val="0"/>
        <w:spacing w:line="276" w:lineRule="auto"/>
        <w:rPr>
          <w:sz w:val="28"/>
          <w:szCs w:val="28"/>
        </w:rPr>
      </w:pPr>
      <w:r>
        <w:rPr>
          <w:sz w:val="28"/>
          <w:szCs w:val="28"/>
        </w:rPr>
        <w:t>П</w:t>
      </w:r>
      <w:r w:rsidR="00F82EB2" w:rsidRPr="00F97BF1">
        <w:rPr>
          <w:sz w:val="28"/>
          <w:szCs w:val="28"/>
        </w:rPr>
        <w:t xml:space="preserve">о итогам </w:t>
      </w:r>
      <w:r w:rsidR="003146DE">
        <w:rPr>
          <w:rFonts w:eastAsiaTheme="minorEastAsia"/>
          <w:sz w:val="28"/>
          <w:szCs w:val="28"/>
          <w:lang w:val="en-US" w:eastAsia="ru-RU"/>
        </w:rPr>
        <w:t>I</w:t>
      </w:r>
      <w:r w:rsidR="00F82EB2" w:rsidRPr="00F97BF1">
        <w:rPr>
          <w:sz w:val="28"/>
          <w:szCs w:val="28"/>
        </w:rPr>
        <w:t xml:space="preserve"> полуг</w:t>
      </w:r>
      <w:r w:rsidR="00F82EB2" w:rsidRPr="007B664C">
        <w:rPr>
          <w:sz w:val="28"/>
          <w:szCs w:val="28"/>
        </w:rPr>
        <w:t>одия 2022</w:t>
      </w:r>
      <w:r w:rsidR="00F82EB2" w:rsidRPr="00F97BF1">
        <w:rPr>
          <w:sz w:val="28"/>
          <w:szCs w:val="28"/>
        </w:rPr>
        <w:t xml:space="preserve"> года </w:t>
      </w:r>
      <w:r>
        <w:rPr>
          <w:sz w:val="28"/>
          <w:szCs w:val="28"/>
        </w:rPr>
        <w:t xml:space="preserve">среднемесячная заработная плата </w:t>
      </w:r>
      <w:r w:rsidR="00F82EB2" w:rsidRPr="00F97BF1">
        <w:rPr>
          <w:sz w:val="28"/>
          <w:szCs w:val="28"/>
        </w:rPr>
        <w:t>увеличилась по сравнени</w:t>
      </w:r>
      <w:r w:rsidR="00F82EB2" w:rsidRPr="007B664C">
        <w:rPr>
          <w:sz w:val="28"/>
          <w:szCs w:val="28"/>
        </w:rPr>
        <w:t>ю с аналогичным показателем 2021 года на 10,0% и составила 49196</w:t>
      </w:r>
      <w:r w:rsidR="00F82EB2" w:rsidRPr="00F97BF1">
        <w:rPr>
          <w:sz w:val="28"/>
          <w:szCs w:val="28"/>
        </w:rPr>
        <w:t xml:space="preserve"> рублей (по Самарской области - </w:t>
      </w:r>
      <w:r w:rsidR="00F82EB2" w:rsidRPr="007B664C">
        <w:rPr>
          <w:sz w:val="28"/>
          <w:szCs w:val="28"/>
        </w:rPr>
        <w:t>50837</w:t>
      </w:r>
      <w:r w:rsidR="00F82EB2" w:rsidRPr="00F97BF1">
        <w:rPr>
          <w:sz w:val="28"/>
          <w:szCs w:val="28"/>
        </w:rPr>
        <w:t> рубл</w:t>
      </w:r>
      <w:r w:rsidR="00F82EB2" w:rsidRPr="007B664C">
        <w:rPr>
          <w:sz w:val="28"/>
          <w:szCs w:val="28"/>
        </w:rPr>
        <w:t>ей</w:t>
      </w:r>
      <w:r w:rsidR="00F82EB2" w:rsidRPr="00F97BF1">
        <w:rPr>
          <w:sz w:val="28"/>
          <w:szCs w:val="28"/>
        </w:rPr>
        <w:t>). Темп роста реальной заработной платы организаций городского округа Тольятти, не относящихся к субъек</w:t>
      </w:r>
      <w:r w:rsidR="00F82EB2" w:rsidRPr="007A03DC">
        <w:rPr>
          <w:sz w:val="28"/>
          <w:szCs w:val="28"/>
        </w:rPr>
        <w:t>там малого предпринимательства,</w:t>
      </w:r>
      <w:r w:rsidR="00F82EB2" w:rsidRPr="00F97BF1">
        <w:rPr>
          <w:sz w:val="28"/>
          <w:szCs w:val="28"/>
        </w:rPr>
        <w:t xml:space="preserve"> </w:t>
      </w:r>
      <w:r w:rsidR="00F82EB2" w:rsidRPr="007A03DC">
        <w:rPr>
          <w:sz w:val="28"/>
          <w:szCs w:val="28"/>
        </w:rPr>
        <w:t>составил 96,1</w:t>
      </w:r>
      <w:r w:rsidR="00F82EB2" w:rsidRPr="00F97BF1">
        <w:rPr>
          <w:sz w:val="28"/>
          <w:szCs w:val="28"/>
        </w:rPr>
        <w:t xml:space="preserve">%. </w:t>
      </w:r>
    </w:p>
    <w:p w:rsidR="00F82EB2" w:rsidRPr="00F97BF1" w:rsidRDefault="00F82EB2" w:rsidP="0024684D">
      <w:pPr>
        <w:widowControl w:val="0"/>
        <w:spacing w:line="276" w:lineRule="auto"/>
        <w:rPr>
          <w:sz w:val="28"/>
          <w:szCs w:val="28"/>
          <w:highlight w:val="yellow"/>
          <w:lang w:eastAsia="ar-SA"/>
        </w:rPr>
      </w:pPr>
      <w:r w:rsidRPr="00F97BF1">
        <w:rPr>
          <w:sz w:val="28"/>
          <w:szCs w:val="28"/>
          <w:lang w:eastAsia="ar-SA"/>
        </w:rPr>
        <w:t xml:space="preserve">В рейтинге городских округов Самарской области городской округ Тольятти занял </w:t>
      </w:r>
      <w:r w:rsidR="00BE0D9C">
        <w:rPr>
          <w:sz w:val="28"/>
          <w:szCs w:val="28"/>
          <w:lang w:eastAsia="ar-SA"/>
        </w:rPr>
        <w:t>четвертое</w:t>
      </w:r>
      <w:r w:rsidRPr="00F97BF1">
        <w:rPr>
          <w:sz w:val="28"/>
          <w:szCs w:val="28"/>
          <w:lang w:eastAsia="ar-SA"/>
        </w:rPr>
        <w:t xml:space="preserve"> место по уровню заработной платы организаций, </w:t>
      </w:r>
      <w:r w:rsidRPr="00F97BF1">
        <w:rPr>
          <w:sz w:val="28"/>
          <w:szCs w:val="28"/>
        </w:rPr>
        <w:t>не относящихся к субъектам малого предпринимательства</w:t>
      </w:r>
      <w:r w:rsidRPr="00F97BF1">
        <w:rPr>
          <w:sz w:val="28"/>
          <w:szCs w:val="28"/>
          <w:lang w:eastAsia="ar-SA"/>
        </w:rPr>
        <w:t xml:space="preserve"> (по т</w:t>
      </w:r>
      <w:r w:rsidRPr="005644AE">
        <w:rPr>
          <w:sz w:val="28"/>
          <w:szCs w:val="28"/>
          <w:lang w:eastAsia="ar-SA"/>
        </w:rPr>
        <w:t xml:space="preserve">емпам роста </w:t>
      </w:r>
      <w:r w:rsidRPr="00ED26D3">
        <w:rPr>
          <w:sz w:val="28"/>
          <w:szCs w:val="28"/>
          <w:lang w:eastAsia="ar-SA"/>
        </w:rPr>
        <w:t xml:space="preserve">заработной платы – </w:t>
      </w:r>
      <w:r w:rsidR="00BE0D9C">
        <w:rPr>
          <w:sz w:val="28"/>
          <w:szCs w:val="28"/>
          <w:lang w:eastAsia="ar-SA"/>
        </w:rPr>
        <w:t>восьмое</w:t>
      </w:r>
      <w:r w:rsidRPr="00F97BF1">
        <w:rPr>
          <w:sz w:val="28"/>
          <w:szCs w:val="28"/>
          <w:lang w:eastAsia="ar-SA"/>
        </w:rPr>
        <w:t xml:space="preserve"> место), а в рейтинге региональных центров Приволжского федерального округа за январь-июнь 202</w:t>
      </w:r>
      <w:r w:rsidRPr="00ED26D3">
        <w:rPr>
          <w:sz w:val="28"/>
          <w:szCs w:val="28"/>
          <w:lang w:eastAsia="ar-SA"/>
        </w:rPr>
        <w:t>2</w:t>
      </w:r>
      <w:r w:rsidRPr="00F97BF1">
        <w:rPr>
          <w:sz w:val="28"/>
          <w:szCs w:val="28"/>
          <w:lang w:eastAsia="ar-SA"/>
        </w:rPr>
        <w:t xml:space="preserve"> года по темпам роста заработной платы работников городской округ Тольятти занял </w:t>
      </w:r>
      <w:r w:rsidRPr="00ED26D3">
        <w:rPr>
          <w:sz w:val="28"/>
          <w:szCs w:val="28"/>
          <w:lang w:eastAsia="ar-SA"/>
        </w:rPr>
        <w:t>13</w:t>
      </w:r>
      <w:r w:rsidRPr="00F97BF1">
        <w:rPr>
          <w:sz w:val="28"/>
          <w:szCs w:val="28"/>
          <w:lang w:eastAsia="ar-SA"/>
        </w:rPr>
        <w:t xml:space="preserve"> место (</w:t>
      </w:r>
      <w:r w:rsidR="00BE0D9C">
        <w:rPr>
          <w:sz w:val="28"/>
          <w:szCs w:val="28"/>
          <w:lang w:eastAsia="ar-SA"/>
        </w:rPr>
        <w:t xml:space="preserve">г. </w:t>
      </w:r>
      <w:r w:rsidRPr="00ED26D3">
        <w:rPr>
          <w:sz w:val="28"/>
          <w:szCs w:val="28"/>
          <w:lang w:eastAsia="ar-SA"/>
        </w:rPr>
        <w:t xml:space="preserve">Казань – </w:t>
      </w:r>
      <w:r w:rsidR="00BE0D9C">
        <w:rPr>
          <w:sz w:val="28"/>
          <w:szCs w:val="28"/>
          <w:lang w:eastAsia="ar-SA"/>
        </w:rPr>
        <w:t>первое</w:t>
      </w:r>
      <w:r w:rsidRPr="00ED26D3">
        <w:rPr>
          <w:sz w:val="28"/>
          <w:szCs w:val="28"/>
          <w:lang w:eastAsia="ar-SA"/>
        </w:rPr>
        <w:t xml:space="preserve"> место, г.о.</w:t>
      </w:r>
      <w:r w:rsidR="00C738DC">
        <w:rPr>
          <w:sz w:val="28"/>
          <w:szCs w:val="28"/>
          <w:lang w:eastAsia="ar-SA"/>
        </w:rPr>
        <w:t xml:space="preserve"> </w:t>
      </w:r>
      <w:r w:rsidRPr="00F97BF1">
        <w:rPr>
          <w:sz w:val="28"/>
          <w:szCs w:val="28"/>
          <w:lang w:eastAsia="ar-SA"/>
        </w:rPr>
        <w:t xml:space="preserve">Самара - </w:t>
      </w:r>
      <w:r w:rsidRPr="00ED26D3">
        <w:rPr>
          <w:sz w:val="28"/>
          <w:szCs w:val="28"/>
          <w:lang w:eastAsia="ar-SA"/>
        </w:rPr>
        <w:t>12</w:t>
      </w:r>
      <w:r w:rsidRPr="00F97BF1">
        <w:rPr>
          <w:sz w:val="28"/>
          <w:szCs w:val="28"/>
          <w:lang w:eastAsia="ar-SA"/>
        </w:rPr>
        <w:t xml:space="preserve"> место</w:t>
      </w:r>
      <w:r>
        <w:rPr>
          <w:sz w:val="28"/>
          <w:szCs w:val="28"/>
          <w:lang w:eastAsia="ar-SA"/>
        </w:rPr>
        <w:t>).</w:t>
      </w:r>
    </w:p>
    <w:p w:rsidR="00F82EB2" w:rsidRDefault="00F82EB2" w:rsidP="0024684D">
      <w:pPr>
        <w:widowControl w:val="0"/>
        <w:autoSpaceDE w:val="0"/>
        <w:autoSpaceDN w:val="0"/>
        <w:adjustRightInd w:val="0"/>
        <w:spacing w:line="276" w:lineRule="auto"/>
        <w:ind w:firstLine="708"/>
        <w:rPr>
          <w:sz w:val="28"/>
          <w:szCs w:val="28"/>
        </w:rPr>
      </w:pPr>
      <w:r w:rsidRPr="00377BDB">
        <w:rPr>
          <w:sz w:val="28"/>
          <w:szCs w:val="28"/>
        </w:rPr>
        <w:t>Номинальная начисленная заработная плата выросла практически во всех наблюдаемых видах экономической деятельности за исключением производства текстильных изделий (снижение на 5,2% до 20698 рублей). Наиболее высокие темпы роста заработной платы отмечаются в области культуры  и спорта (</w:t>
      </w:r>
      <w:r w:rsidR="00BE0D9C">
        <w:rPr>
          <w:sz w:val="28"/>
          <w:szCs w:val="28"/>
        </w:rPr>
        <w:t>при</w:t>
      </w:r>
      <w:r w:rsidRPr="00377BDB">
        <w:rPr>
          <w:sz w:val="28"/>
          <w:szCs w:val="28"/>
        </w:rPr>
        <w:t>рост 30,6% до 50260 рублей), в области информации и связи (</w:t>
      </w:r>
      <w:r w:rsidR="00BE0D9C">
        <w:rPr>
          <w:sz w:val="28"/>
          <w:szCs w:val="28"/>
        </w:rPr>
        <w:t xml:space="preserve">прирост </w:t>
      </w:r>
      <w:r w:rsidRPr="00377BDB">
        <w:rPr>
          <w:sz w:val="28"/>
          <w:szCs w:val="28"/>
        </w:rPr>
        <w:t>29,4% до 64052 рублей), а так же в организациях осуществляющих прочие виды услуг (</w:t>
      </w:r>
      <w:r w:rsidR="00BE0D9C">
        <w:rPr>
          <w:sz w:val="28"/>
          <w:szCs w:val="28"/>
        </w:rPr>
        <w:t xml:space="preserve">прирост </w:t>
      </w:r>
      <w:r w:rsidRPr="00377BDB">
        <w:rPr>
          <w:sz w:val="28"/>
          <w:szCs w:val="28"/>
        </w:rPr>
        <w:t>18,5% до 50512 рублей). На предприятиях обрабатывающих производств заработная плата выросла на 7,7% и составила 54810 рублей.</w:t>
      </w:r>
    </w:p>
    <w:p w:rsidR="00F82EB2" w:rsidRPr="00377BDB" w:rsidRDefault="00F82EB2" w:rsidP="0024684D">
      <w:pPr>
        <w:widowControl w:val="0"/>
        <w:autoSpaceDE w:val="0"/>
        <w:autoSpaceDN w:val="0"/>
        <w:adjustRightInd w:val="0"/>
        <w:spacing w:line="276" w:lineRule="auto"/>
        <w:ind w:firstLine="708"/>
        <w:rPr>
          <w:sz w:val="28"/>
          <w:szCs w:val="28"/>
        </w:rPr>
      </w:pPr>
      <w:r w:rsidRPr="00377BDB">
        <w:rPr>
          <w:sz w:val="28"/>
          <w:szCs w:val="28"/>
        </w:rPr>
        <w:t xml:space="preserve">По итогам </w:t>
      </w:r>
      <w:r w:rsidR="003146DE">
        <w:rPr>
          <w:rFonts w:eastAsiaTheme="minorEastAsia"/>
          <w:sz w:val="28"/>
          <w:szCs w:val="28"/>
          <w:lang w:val="en-US" w:eastAsia="ru-RU"/>
        </w:rPr>
        <w:t>I</w:t>
      </w:r>
      <w:r w:rsidRPr="00377BDB">
        <w:rPr>
          <w:sz w:val="28"/>
          <w:szCs w:val="28"/>
        </w:rPr>
        <w:t xml:space="preserve"> полугодия лидером по уровню заработной платы является строительная деятельность (</w:t>
      </w:r>
      <w:r w:rsidR="00BE0D9C">
        <w:rPr>
          <w:sz w:val="28"/>
          <w:szCs w:val="28"/>
        </w:rPr>
        <w:t>превысило</w:t>
      </w:r>
      <w:r w:rsidRPr="00377BDB">
        <w:rPr>
          <w:sz w:val="28"/>
          <w:szCs w:val="28"/>
        </w:rPr>
        <w:t xml:space="preserve"> </w:t>
      </w:r>
      <w:r w:rsidR="00BE0D9C">
        <w:rPr>
          <w:sz w:val="28"/>
          <w:szCs w:val="28"/>
        </w:rPr>
        <w:t>средний</w:t>
      </w:r>
      <w:r w:rsidRPr="00377BDB">
        <w:rPr>
          <w:sz w:val="28"/>
          <w:szCs w:val="28"/>
        </w:rPr>
        <w:t xml:space="preserve"> </w:t>
      </w:r>
      <w:r w:rsidR="00BE0D9C">
        <w:rPr>
          <w:sz w:val="28"/>
          <w:szCs w:val="28"/>
        </w:rPr>
        <w:t xml:space="preserve">уровень </w:t>
      </w:r>
      <w:r w:rsidRPr="00377BDB">
        <w:rPr>
          <w:sz w:val="28"/>
          <w:szCs w:val="28"/>
        </w:rPr>
        <w:t xml:space="preserve">по городскому округу </w:t>
      </w:r>
      <w:r w:rsidR="00BE0D9C">
        <w:rPr>
          <w:sz w:val="28"/>
          <w:szCs w:val="28"/>
        </w:rPr>
        <w:t>в</w:t>
      </w:r>
      <w:r w:rsidRPr="00377BDB">
        <w:rPr>
          <w:sz w:val="28"/>
          <w:szCs w:val="28"/>
        </w:rPr>
        <w:t xml:space="preserve"> 1,6 раза до 79937 рублей). Также одним из самых оплачиваемым видом деятельности является химическое производство (в 1,4 раза</w:t>
      </w:r>
      <w:r w:rsidR="00BE0D9C">
        <w:rPr>
          <w:sz w:val="28"/>
          <w:szCs w:val="28"/>
        </w:rPr>
        <w:t>,</w:t>
      </w:r>
      <w:r w:rsidRPr="00377BDB">
        <w:rPr>
          <w:sz w:val="28"/>
          <w:szCs w:val="28"/>
        </w:rPr>
        <w:t xml:space="preserve"> 68081 рублей), деятельность профессиональная, научная и техническая (в 1,3 раза</w:t>
      </w:r>
      <w:r w:rsidR="00BE0D9C">
        <w:rPr>
          <w:sz w:val="28"/>
          <w:szCs w:val="28"/>
        </w:rPr>
        <w:t xml:space="preserve">, </w:t>
      </w:r>
      <w:r w:rsidRPr="00377BDB">
        <w:rPr>
          <w:sz w:val="28"/>
          <w:szCs w:val="28"/>
        </w:rPr>
        <w:t xml:space="preserve"> 65965 рублей).</w:t>
      </w:r>
    </w:p>
    <w:p w:rsidR="00F82EB2" w:rsidRPr="00377BDB" w:rsidRDefault="00BE0D9C" w:rsidP="0024684D">
      <w:pPr>
        <w:widowControl w:val="0"/>
        <w:autoSpaceDE w:val="0"/>
        <w:autoSpaceDN w:val="0"/>
        <w:adjustRightInd w:val="0"/>
        <w:spacing w:line="276" w:lineRule="auto"/>
        <w:ind w:firstLine="708"/>
        <w:rPr>
          <w:sz w:val="28"/>
          <w:szCs w:val="28"/>
        </w:rPr>
      </w:pPr>
      <w:r>
        <w:rPr>
          <w:sz w:val="28"/>
          <w:szCs w:val="28"/>
        </w:rPr>
        <w:t>А</w:t>
      </w:r>
      <w:r w:rsidR="00F82EB2" w:rsidRPr="00377BDB">
        <w:rPr>
          <w:sz w:val="28"/>
          <w:szCs w:val="28"/>
        </w:rPr>
        <w:t>утсайдер</w:t>
      </w:r>
      <w:r>
        <w:rPr>
          <w:sz w:val="28"/>
          <w:szCs w:val="28"/>
        </w:rPr>
        <w:t>ом</w:t>
      </w:r>
      <w:r w:rsidR="00F82EB2" w:rsidRPr="00377BDB">
        <w:rPr>
          <w:sz w:val="28"/>
          <w:szCs w:val="28"/>
        </w:rPr>
        <w:t xml:space="preserve"> по уровню заработной платы </w:t>
      </w:r>
      <w:r>
        <w:rPr>
          <w:sz w:val="28"/>
          <w:szCs w:val="28"/>
        </w:rPr>
        <w:t xml:space="preserve">стала сфера </w:t>
      </w:r>
      <w:r w:rsidR="00F82EB2" w:rsidRPr="00377BDB">
        <w:rPr>
          <w:sz w:val="28"/>
          <w:szCs w:val="28"/>
        </w:rPr>
        <w:t xml:space="preserve">гостиниц и общественного питания (69,4% от среднемесячной заработной платы по городу до 34139 рублей); </w:t>
      </w:r>
      <w:r>
        <w:rPr>
          <w:sz w:val="28"/>
          <w:szCs w:val="28"/>
        </w:rPr>
        <w:t>а также организации</w:t>
      </w:r>
      <w:r w:rsidR="00F82EB2" w:rsidRPr="00377BDB">
        <w:rPr>
          <w:sz w:val="28"/>
          <w:szCs w:val="28"/>
        </w:rPr>
        <w:t>, оказывающие административные и сопутствующие услуги (70,7%</w:t>
      </w:r>
      <w:r>
        <w:rPr>
          <w:sz w:val="28"/>
          <w:szCs w:val="28"/>
        </w:rPr>
        <w:t>,</w:t>
      </w:r>
      <w:r w:rsidR="00F82EB2" w:rsidRPr="00377BDB">
        <w:rPr>
          <w:sz w:val="28"/>
          <w:szCs w:val="28"/>
        </w:rPr>
        <w:t xml:space="preserve"> 34775 рублей), предприятия, осуществляющие транспортировку и хранение (74,4%</w:t>
      </w:r>
      <w:r>
        <w:rPr>
          <w:sz w:val="28"/>
          <w:szCs w:val="28"/>
        </w:rPr>
        <w:t>,</w:t>
      </w:r>
      <w:r w:rsidR="00F82EB2" w:rsidRPr="00377BDB">
        <w:rPr>
          <w:sz w:val="28"/>
          <w:szCs w:val="28"/>
        </w:rPr>
        <w:t xml:space="preserve"> 36583 рублей).</w:t>
      </w:r>
      <w:r w:rsidR="00F82EB2" w:rsidRPr="00377BDB">
        <w:rPr>
          <w:sz w:val="28"/>
          <w:szCs w:val="28"/>
          <w:lang w:eastAsia="ru-RU"/>
        </w:rPr>
        <w:t xml:space="preserve"> </w:t>
      </w:r>
    </w:p>
    <w:p w:rsidR="00F82EB2" w:rsidRPr="00377BDB" w:rsidRDefault="00F82EB2" w:rsidP="0024684D">
      <w:pPr>
        <w:widowControl w:val="0"/>
        <w:spacing w:line="276" w:lineRule="auto"/>
        <w:rPr>
          <w:sz w:val="28"/>
          <w:szCs w:val="28"/>
          <w:lang w:eastAsia="ru-RU"/>
        </w:rPr>
      </w:pPr>
      <w:r w:rsidRPr="00377BDB">
        <w:rPr>
          <w:sz w:val="28"/>
          <w:szCs w:val="28"/>
          <w:lang w:eastAsia="ru-RU"/>
        </w:rPr>
        <w:t>В здравоохранении среднемесячная заработная плата работников за январь-июнь 2022 года составила 41392 рублей, что на 10,1% больше соответствующего периода предыдущего года.</w:t>
      </w:r>
    </w:p>
    <w:p w:rsidR="009230B1" w:rsidRPr="009230B1" w:rsidRDefault="009230B1" w:rsidP="0024684D">
      <w:pPr>
        <w:tabs>
          <w:tab w:val="left" w:pos="142"/>
          <w:tab w:val="left" w:pos="9720"/>
        </w:tabs>
        <w:spacing w:line="276" w:lineRule="auto"/>
        <w:contextualSpacing/>
        <w:textAlignment w:val="top"/>
        <w:rPr>
          <w:sz w:val="28"/>
          <w:szCs w:val="28"/>
        </w:rPr>
      </w:pPr>
      <w:r w:rsidRPr="00AF42D9">
        <w:rPr>
          <w:sz w:val="28"/>
          <w:szCs w:val="28"/>
        </w:rPr>
        <w:t>АО «АВТОВАЗ</w:t>
      </w:r>
      <w:r w:rsidRPr="00C748DE">
        <w:rPr>
          <w:sz w:val="28"/>
          <w:szCs w:val="28"/>
        </w:rPr>
        <w:t xml:space="preserve">», деятельность которого по-прежнему оказывает существенное влияние на экономику города, </w:t>
      </w:r>
      <w:r w:rsidRPr="009230B1">
        <w:rPr>
          <w:sz w:val="28"/>
          <w:szCs w:val="28"/>
        </w:rPr>
        <w:t xml:space="preserve">с 1 июня 2022 года проиндексировало ставки и оклады </w:t>
      </w:r>
      <w:r>
        <w:rPr>
          <w:sz w:val="28"/>
          <w:szCs w:val="28"/>
        </w:rPr>
        <w:t xml:space="preserve">своих </w:t>
      </w:r>
      <w:r w:rsidRPr="009230B1">
        <w:rPr>
          <w:sz w:val="28"/>
          <w:szCs w:val="28"/>
        </w:rPr>
        <w:t>сотрудников на 9,0%.</w:t>
      </w:r>
    </w:p>
    <w:p w:rsidR="00F82EB2" w:rsidRPr="00353034" w:rsidRDefault="00F82EB2" w:rsidP="0024684D">
      <w:pPr>
        <w:widowControl w:val="0"/>
        <w:autoSpaceDE w:val="0"/>
        <w:autoSpaceDN w:val="0"/>
        <w:adjustRightInd w:val="0"/>
        <w:spacing w:line="276" w:lineRule="auto"/>
        <w:ind w:firstLine="708"/>
        <w:rPr>
          <w:bCs/>
          <w:spacing w:val="2"/>
          <w:sz w:val="28"/>
          <w:szCs w:val="28"/>
          <w:lang w:eastAsia="ar-SA"/>
        </w:rPr>
      </w:pPr>
      <w:r w:rsidRPr="00377BDB">
        <w:rPr>
          <w:sz w:val="28"/>
          <w:szCs w:val="28"/>
        </w:rPr>
        <w:t>Однако, темпы роста заработной платы работников</w:t>
      </w:r>
      <w:r w:rsidRPr="00353034">
        <w:rPr>
          <w:sz w:val="28"/>
          <w:szCs w:val="28"/>
        </w:rPr>
        <w:t xml:space="preserve"> крупных и средних организаций постепенно замедляются</w:t>
      </w:r>
      <w:r w:rsidRPr="00353034">
        <w:rPr>
          <w:rFonts w:eastAsia="Calibri"/>
          <w:sz w:val="28"/>
          <w:szCs w:val="28"/>
          <w:lang w:eastAsia="ar-SA"/>
        </w:rPr>
        <w:t>.</w:t>
      </w:r>
      <w:r w:rsidRPr="00353034">
        <w:rPr>
          <w:bCs/>
          <w:spacing w:val="2"/>
          <w:sz w:val="28"/>
          <w:szCs w:val="28"/>
          <w:lang w:eastAsia="ar-SA"/>
        </w:rPr>
        <w:t xml:space="preserve"> </w:t>
      </w:r>
    </w:p>
    <w:p w:rsidR="00F82EB2" w:rsidRPr="0045682C" w:rsidRDefault="00F82EB2" w:rsidP="00F82EB2">
      <w:pPr>
        <w:widowControl w:val="0"/>
        <w:autoSpaceDE w:val="0"/>
        <w:autoSpaceDN w:val="0"/>
        <w:adjustRightInd w:val="0"/>
        <w:spacing w:line="276" w:lineRule="auto"/>
        <w:ind w:firstLine="708"/>
        <w:rPr>
          <w:sz w:val="28"/>
          <w:szCs w:val="28"/>
        </w:rPr>
      </w:pPr>
      <w:r w:rsidRPr="00353034">
        <w:rPr>
          <w:sz w:val="28"/>
          <w:szCs w:val="28"/>
        </w:rPr>
        <w:t xml:space="preserve">С учетом данных </w:t>
      </w:r>
      <w:r w:rsidR="00F84E57" w:rsidRPr="00353034">
        <w:rPr>
          <w:sz w:val="28"/>
          <w:szCs w:val="28"/>
        </w:rPr>
        <w:t xml:space="preserve">крупнейших предприятий городского округа Тольятти </w:t>
      </w:r>
      <w:r w:rsidRPr="00353034">
        <w:rPr>
          <w:sz w:val="28"/>
          <w:szCs w:val="28"/>
        </w:rPr>
        <w:t>произведен расчет заработной платы работников в целом по городу (средняя зарплата по крупнейшим предприятиям традиционно превышает зарплату по городу на 20%).</w:t>
      </w:r>
      <w:r>
        <w:rPr>
          <w:sz w:val="28"/>
          <w:szCs w:val="28"/>
        </w:rPr>
        <w:t xml:space="preserve"> </w:t>
      </w:r>
      <w:r w:rsidR="00F84E57">
        <w:rPr>
          <w:sz w:val="28"/>
          <w:szCs w:val="28"/>
        </w:rPr>
        <w:t>По итогам 2022 года ее размер составит 50440 рублей, что на 7,2% больше 2021 года.</w:t>
      </w:r>
    </w:p>
    <w:p w:rsidR="00F82EB2" w:rsidRPr="00962229" w:rsidRDefault="00F82EB2" w:rsidP="00F82EB2">
      <w:pPr>
        <w:suppressAutoHyphens w:val="0"/>
        <w:spacing w:line="276" w:lineRule="auto"/>
        <w:ind w:firstLine="708"/>
        <w:rPr>
          <w:sz w:val="28"/>
          <w:szCs w:val="28"/>
          <w:lang w:eastAsia="ru-RU"/>
        </w:rPr>
      </w:pPr>
      <w:r w:rsidRPr="00962229">
        <w:rPr>
          <w:sz w:val="28"/>
          <w:szCs w:val="28"/>
          <w:lang w:eastAsia="ru-RU"/>
        </w:rPr>
        <w:t>По данным Самарастата, предоставленным в целях мониторинга достижения заработной платы работников социальной сферы городского округа Тольятти до уровня, установленного Указом Президента Российской Федерации от 07.05.2012 № 597, заработная плата работников муниципальных учреждений за январь-июнь 2022 года сложилась следующим образом:</w:t>
      </w:r>
    </w:p>
    <w:p w:rsidR="00F82EB2" w:rsidRPr="00FC38BA" w:rsidRDefault="00F82EB2" w:rsidP="00F82EB2">
      <w:pPr>
        <w:suppressAutoHyphens w:val="0"/>
        <w:spacing w:line="276" w:lineRule="auto"/>
        <w:ind w:firstLine="708"/>
        <w:rPr>
          <w:sz w:val="28"/>
          <w:szCs w:val="28"/>
          <w:lang w:eastAsia="ru-RU"/>
        </w:rPr>
      </w:pPr>
      <w:r w:rsidRPr="00FC38BA">
        <w:rPr>
          <w:sz w:val="28"/>
          <w:szCs w:val="28"/>
          <w:lang w:eastAsia="ru-RU"/>
        </w:rPr>
        <w:t>- заработная плата педагогических работников муниципальных дошкольных образовательных учреждений – 37392 рублей, что на 8,3% выше соответствующего периода прошлого года;</w:t>
      </w:r>
    </w:p>
    <w:p w:rsidR="00F82EB2" w:rsidRPr="00ED01AB" w:rsidRDefault="00F82EB2" w:rsidP="00F82EB2">
      <w:pPr>
        <w:suppressAutoHyphens w:val="0"/>
        <w:spacing w:line="276" w:lineRule="auto"/>
        <w:ind w:firstLine="708"/>
        <w:rPr>
          <w:sz w:val="28"/>
          <w:szCs w:val="28"/>
          <w:lang w:eastAsia="ru-RU"/>
        </w:rPr>
      </w:pPr>
      <w:r w:rsidRPr="00FC38BA">
        <w:rPr>
          <w:sz w:val="28"/>
          <w:szCs w:val="28"/>
          <w:lang w:eastAsia="ru-RU"/>
        </w:rPr>
        <w:t xml:space="preserve">- заработная плата педагогических работников в учреждениях дополнительного образования детей </w:t>
      </w:r>
      <w:r>
        <w:rPr>
          <w:sz w:val="28"/>
          <w:szCs w:val="28"/>
          <w:lang w:eastAsia="ru-RU"/>
        </w:rPr>
        <w:t xml:space="preserve">и педагоги учреждений культуры </w:t>
      </w:r>
      <w:r w:rsidRPr="00FC38BA">
        <w:rPr>
          <w:sz w:val="28"/>
          <w:szCs w:val="28"/>
          <w:lang w:eastAsia="ru-RU"/>
        </w:rPr>
        <w:t>– 45 646 рубля, на 7,3% больше уровня</w:t>
      </w:r>
      <w:r>
        <w:rPr>
          <w:sz w:val="28"/>
          <w:szCs w:val="28"/>
          <w:lang w:eastAsia="ru-RU"/>
        </w:rPr>
        <w:t xml:space="preserve"> января-</w:t>
      </w:r>
      <w:r w:rsidRPr="00ED01AB">
        <w:rPr>
          <w:sz w:val="28"/>
          <w:szCs w:val="28"/>
          <w:lang w:eastAsia="ru-RU"/>
        </w:rPr>
        <w:t>июня 2021 года;</w:t>
      </w:r>
    </w:p>
    <w:p w:rsidR="00F82EB2" w:rsidRDefault="00F82EB2" w:rsidP="00F82EB2">
      <w:pPr>
        <w:suppressAutoHyphens w:val="0"/>
        <w:spacing w:line="276" w:lineRule="auto"/>
        <w:ind w:firstLine="708"/>
        <w:rPr>
          <w:sz w:val="28"/>
          <w:szCs w:val="28"/>
          <w:lang w:eastAsia="ru-RU"/>
        </w:rPr>
      </w:pPr>
      <w:r w:rsidRPr="00ED01AB">
        <w:rPr>
          <w:sz w:val="28"/>
          <w:szCs w:val="28"/>
          <w:lang w:eastAsia="ru-RU"/>
        </w:rPr>
        <w:t>- заработная плата работников культуры – 37 198 рублей, что на 14,2% больше уровня января-июня 2021 года;</w:t>
      </w:r>
    </w:p>
    <w:p w:rsidR="00F82EB2" w:rsidRDefault="00F82EB2" w:rsidP="00F82EB2">
      <w:pPr>
        <w:spacing w:line="276" w:lineRule="auto"/>
        <w:ind w:firstLine="708"/>
        <w:rPr>
          <w:sz w:val="28"/>
          <w:szCs w:val="28"/>
        </w:rPr>
      </w:pPr>
      <w:r w:rsidRPr="00A25FA1">
        <w:rPr>
          <w:sz w:val="28"/>
          <w:szCs w:val="28"/>
        </w:rPr>
        <w:t>- заработная плата среднего медицинского персонала</w:t>
      </w:r>
      <w:r w:rsidRPr="0021705F">
        <w:rPr>
          <w:sz w:val="28"/>
          <w:szCs w:val="28"/>
        </w:rPr>
        <w:t xml:space="preserve"> в муниципальных учреждениях образования, науки, культуры, здравоохранения, социального </w:t>
      </w:r>
      <w:r w:rsidRPr="00A25FA1">
        <w:rPr>
          <w:sz w:val="28"/>
          <w:szCs w:val="28"/>
        </w:rPr>
        <w:t xml:space="preserve">обслуживания </w:t>
      </w:r>
      <w:r>
        <w:rPr>
          <w:sz w:val="28"/>
          <w:szCs w:val="28"/>
        </w:rPr>
        <w:t>– 23 349 рублей, что на 15,7% больше уровня января-июня</w:t>
      </w:r>
      <w:r w:rsidRPr="00A25FA1">
        <w:rPr>
          <w:sz w:val="28"/>
          <w:szCs w:val="28"/>
        </w:rPr>
        <w:t xml:space="preserve"> 2021 года.</w:t>
      </w:r>
    </w:p>
    <w:p w:rsidR="00F82EB2" w:rsidRDefault="00182594" w:rsidP="00D22477">
      <w:pPr>
        <w:widowControl w:val="0"/>
        <w:autoSpaceDE w:val="0"/>
        <w:autoSpaceDN w:val="0"/>
        <w:adjustRightInd w:val="0"/>
        <w:spacing w:line="276" w:lineRule="auto"/>
        <w:ind w:firstLine="708"/>
        <w:rPr>
          <w:sz w:val="28"/>
          <w:szCs w:val="28"/>
        </w:rPr>
      </w:pPr>
      <w:r>
        <w:rPr>
          <w:sz w:val="28"/>
          <w:szCs w:val="28"/>
        </w:rPr>
        <w:t>В текущем году дважды увеличен минимальный размер оплаты труда</w:t>
      </w:r>
      <w:r w:rsidR="00D22477">
        <w:rPr>
          <w:sz w:val="28"/>
          <w:szCs w:val="28"/>
        </w:rPr>
        <w:t xml:space="preserve"> (М</w:t>
      </w:r>
      <w:r w:rsidR="00D22477" w:rsidRPr="003E4C8A">
        <w:rPr>
          <w:sz w:val="28"/>
          <w:szCs w:val="28"/>
        </w:rPr>
        <w:t>РОТ</w:t>
      </w:r>
      <w:r w:rsidR="00D22477">
        <w:rPr>
          <w:sz w:val="28"/>
          <w:szCs w:val="28"/>
        </w:rPr>
        <w:t>):</w:t>
      </w:r>
      <w:r>
        <w:rPr>
          <w:sz w:val="28"/>
          <w:szCs w:val="28"/>
        </w:rPr>
        <w:t xml:space="preserve"> </w:t>
      </w:r>
      <w:r w:rsidR="00F82EB2" w:rsidRPr="003E4C8A">
        <w:rPr>
          <w:sz w:val="28"/>
          <w:szCs w:val="28"/>
        </w:rPr>
        <w:t>с 1 января 2022 года</w:t>
      </w:r>
      <w:r w:rsidR="00D22477">
        <w:rPr>
          <w:sz w:val="28"/>
          <w:szCs w:val="28"/>
        </w:rPr>
        <w:t xml:space="preserve"> М</w:t>
      </w:r>
      <w:r w:rsidR="00F82EB2" w:rsidRPr="003E4C8A">
        <w:rPr>
          <w:sz w:val="28"/>
          <w:szCs w:val="28"/>
        </w:rPr>
        <w:t>РОТ</w:t>
      </w:r>
      <w:r w:rsidR="00D22477">
        <w:rPr>
          <w:sz w:val="28"/>
          <w:szCs w:val="28"/>
        </w:rPr>
        <w:t xml:space="preserve"> увеличен на 8,6% до</w:t>
      </w:r>
      <w:r w:rsidR="00F82EB2" w:rsidRPr="003E4C8A">
        <w:rPr>
          <w:sz w:val="28"/>
          <w:szCs w:val="28"/>
        </w:rPr>
        <w:t xml:space="preserve"> 13890 рубл</w:t>
      </w:r>
      <w:r w:rsidR="00F82EB2">
        <w:rPr>
          <w:sz w:val="28"/>
          <w:szCs w:val="28"/>
        </w:rPr>
        <w:t>ей</w:t>
      </w:r>
      <w:r w:rsidR="00D22477">
        <w:rPr>
          <w:sz w:val="28"/>
          <w:szCs w:val="28"/>
        </w:rPr>
        <w:t>, с</w:t>
      </w:r>
      <w:r w:rsidR="00F82EB2">
        <w:rPr>
          <w:sz w:val="28"/>
          <w:szCs w:val="28"/>
        </w:rPr>
        <w:t xml:space="preserve"> 1 июня 2022 </w:t>
      </w:r>
      <w:r w:rsidR="00D22477">
        <w:rPr>
          <w:sz w:val="28"/>
          <w:szCs w:val="28"/>
        </w:rPr>
        <w:t>-</w:t>
      </w:r>
      <w:r w:rsidR="00F82EB2">
        <w:rPr>
          <w:sz w:val="28"/>
          <w:szCs w:val="28"/>
        </w:rPr>
        <w:t xml:space="preserve"> на 10% </w:t>
      </w:r>
      <w:r w:rsidR="00D22477">
        <w:rPr>
          <w:sz w:val="28"/>
          <w:szCs w:val="28"/>
        </w:rPr>
        <w:t>до</w:t>
      </w:r>
      <w:r w:rsidR="00F82EB2">
        <w:rPr>
          <w:sz w:val="28"/>
          <w:szCs w:val="28"/>
        </w:rPr>
        <w:t xml:space="preserve"> 15 279 рублей.  </w:t>
      </w:r>
    </w:p>
    <w:p w:rsidR="00F84E57" w:rsidRPr="00B442CD" w:rsidRDefault="00F84E57" w:rsidP="00F84E57">
      <w:pPr>
        <w:pStyle w:val="aff0"/>
        <w:spacing w:line="276" w:lineRule="auto"/>
        <w:rPr>
          <w:szCs w:val="28"/>
          <w:lang w:eastAsia="ru-RU"/>
        </w:rPr>
      </w:pPr>
      <w:r w:rsidRPr="0098297D">
        <w:rPr>
          <w:szCs w:val="28"/>
          <w:lang w:eastAsia="ru-RU"/>
        </w:rPr>
        <w:t>В соответствии с постановлением администрации городского округа Тольятти от 23 декабря 2021 № 3880-п/1 «О повышении оплаты труда работников органов местного самоуправления и работников бюджетной сферы городского округа Тольятти с 01.01.2022» повышен в 1,058 раза размер окладов (должностных окладов) работников органов местного самоуправления и работников бюджетного сектора экономики городского округа Тольятти, за исключением педагогических работников муниципальных образовательных учреждений, работников на должностях профессорско-преподавательского состава муниципальных образовательных учреждений, работников муниципальных учреждений культуры и искусства, повышение заработной платы, которых производится в соответствии с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w:t>
      </w:r>
    </w:p>
    <w:p w:rsidR="00E72F82" w:rsidRPr="002F7C59" w:rsidRDefault="00E72F82" w:rsidP="00E72F82">
      <w:pPr>
        <w:pStyle w:val="230"/>
        <w:keepNext/>
        <w:keepLines/>
        <w:spacing w:before="120" w:line="276" w:lineRule="auto"/>
        <w:ind w:left="0" w:firstLine="0"/>
        <w:jc w:val="center"/>
        <w:rPr>
          <w:bCs/>
          <w:sz w:val="28"/>
          <w:szCs w:val="28"/>
        </w:rPr>
      </w:pPr>
      <w:r w:rsidRPr="002F7C59">
        <w:rPr>
          <w:bCs/>
          <w:sz w:val="28"/>
          <w:szCs w:val="28"/>
        </w:rPr>
        <w:t xml:space="preserve">Ожидаемое выполнение прогнозных показателей по разделу </w:t>
      </w:r>
      <w:r w:rsidR="00EF4863" w:rsidRPr="002F7C59">
        <w:rPr>
          <w:bCs/>
          <w:sz w:val="28"/>
          <w:szCs w:val="28"/>
        </w:rPr>
        <w:t xml:space="preserve">                   </w:t>
      </w:r>
      <w:r w:rsidRPr="002F7C59">
        <w:rPr>
          <w:bCs/>
          <w:sz w:val="28"/>
          <w:szCs w:val="28"/>
        </w:rPr>
        <w:t>«Заработная плата» на 202</w:t>
      </w:r>
      <w:r w:rsidR="002F7C59" w:rsidRPr="002F7C59">
        <w:rPr>
          <w:bCs/>
          <w:sz w:val="28"/>
          <w:szCs w:val="28"/>
        </w:rPr>
        <w:t>2</w:t>
      </w:r>
      <w:r w:rsidRPr="002F7C59">
        <w:rPr>
          <w:bCs/>
          <w:sz w:val="28"/>
          <w:szCs w:val="28"/>
        </w:rPr>
        <w:t xml:space="preserve"> г</w:t>
      </w:r>
      <w:r w:rsidR="00EF4863" w:rsidRPr="002F7C59">
        <w:rPr>
          <w:bCs/>
          <w:sz w:val="28"/>
          <w:szCs w:val="28"/>
        </w:rPr>
        <w:t>од</w:t>
      </w:r>
    </w:p>
    <w:tbl>
      <w:tblPr>
        <w:tblW w:w="9370" w:type="dxa"/>
        <w:tblInd w:w="108" w:type="dxa"/>
        <w:tblLayout w:type="fixed"/>
        <w:tblLook w:val="0000" w:firstRow="0" w:lastRow="0" w:firstColumn="0" w:lastColumn="0" w:noHBand="0" w:noVBand="0"/>
      </w:tblPr>
      <w:tblGrid>
        <w:gridCol w:w="4111"/>
        <w:gridCol w:w="1276"/>
        <w:gridCol w:w="1417"/>
        <w:gridCol w:w="1276"/>
        <w:gridCol w:w="1290"/>
      </w:tblGrid>
      <w:tr w:rsidR="002F7C59" w:rsidRPr="00890AA8" w:rsidTr="000276A2">
        <w:trPr>
          <w:tblHeader/>
        </w:trPr>
        <w:tc>
          <w:tcPr>
            <w:tcW w:w="4111" w:type="dxa"/>
            <w:vMerge w:val="restart"/>
            <w:tcBorders>
              <w:top w:val="single" w:sz="4" w:space="0" w:color="000000"/>
              <w:left w:val="single" w:sz="4" w:space="0" w:color="000000"/>
              <w:bottom w:val="single" w:sz="4" w:space="0" w:color="000000"/>
            </w:tcBorders>
            <w:vAlign w:val="center"/>
          </w:tcPr>
          <w:p w:rsidR="002F7C59" w:rsidRPr="00B13A54" w:rsidRDefault="002F7C59" w:rsidP="000276A2">
            <w:pPr>
              <w:pStyle w:val="230"/>
              <w:keepNext/>
              <w:keepLines/>
              <w:spacing w:after="0" w:line="276" w:lineRule="auto"/>
              <w:ind w:left="0" w:firstLine="0"/>
              <w:jc w:val="center"/>
              <w:rPr>
                <w:sz w:val="28"/>
                <w:szCs w:val="28"/>
              </w:rPr>
            </w:pPr>
            <w:r w:rsidRPr="00B13A54">
              <w:rPr>
                <w:sz w:val="28"/>
                <w:szCs w:val="28"/>
              </w:rPr>
              <w:t>Показатели</w:t>
            </w:r>
          </w:p>
        </w:tc>
        <w:tc>
          <w:tcPr>
            <w:tcW w:w="1276" w:type="dxa"/>
            <w:vMerge w:val="restart"/>
            <w:tcBorders>
              <w:top w:val="single" w:sz="4" w:space="0" w:color="000000"/>
              <w:left w:val="single" w:sz="4" w:space="0" w:color="000000"/>
              <w:bottom w:val="single" w:sz="4" w:space="0" w:color="000000"/>
            </w:tcBorders>
            <w:vAlign w:val="center"/>
          </w:tcPr>
          <w:p w:rsidR="002F7C59" w:rsidRPr="00B13A54" w:rsidRDefault="002F7C59" w:rsidP="000276A2">
            <w:pPr>
              <w:ind w:firstLine="0"/>
              <w:jc w:val="center"/>
              <w:rPr>
                <w:sz w:val="28"/>
                <w:szCs w:val="28"/>
              </w:rPr>
            </w:pPr>
            <w:r w:rsidRPr="00B13A54">
              <w:rPr>
                <w:sz w:val="28"/>
                <w:szCs w:val="28"/>
              </w:rPr>
              <w:t>Единица измере</w:t>
            </w:r>
          </w:p>
          <w:p w:rsidR="002F7C59" w:rsidRPr="00B13A54" w:rsidRDefault="002F7C59" w:rsidP="000276A2">
            <w:pPr>
              <w:ind w:firstLine="0"/>
              <w:jc w:val="center"/>
              <w:rPr>
                <w:sz w:val="28"/>
                <w:szCs w:val="28"/>
              </w:rPr>
            </w:pPr>
            <w:r w:rsidRPr="00B13A54">
              <w:rPr>
                <w:sz w:val="28"/>
                <w:szCs w:val="28"/>
              </w:rPr>
              <w:t>ния</w:t>
            </w:r>
          </w:p>
        </w:tc>
        <w:tc>
          <w:tcPr>
            <w:tcW w:w="2693" w:type="dxa"/>
            <w:gridSpan w:val="2"/>
            <w:tcBorders>
              <w:top w:val="single" w:sz="4" w:space="0" w:color="000000"/>
              <w:left w:val="single" w:sz="4" w:space="0" w:color="000000"/>
              <w:bottom w:val="single" w:sz="4" w:space="0" w:color="000000"/>
            </w:tcBorders>
            <w:vAlign w:val="center"/>
          </w:tcPr>
          <w:p w:rsidR="002F7C59" w:rsidRPr="00B13A54" w:rsidRDefault="002F7C59" w:rsidP="000276A2">
            <w:pPr>
              <w:ind w:firstLine="0"/>
              <w:jc w:val="center"/>
              <w:rPr>
                <w:sz w:val="28"/>
                <w:szCs w:val="28"/>
              </w:rPr>
            </w:pPr>
            <w:r w:rsidRPr="00B13A54">
              <w:rPr>
                <w:sz w:val="28"/>
                <w:szCs w:val="28"/>
              </w:rPr>
              <w:t>Прогноз на 202</w:t>
            </w:r>
            <w:r>
              <w:rPr>
                <w:sz w:val="28"/>
                <w:szCs w:val="28"/>
              </w:rPr>
              <w:t>2</w:t>
            </w:r>
            <w:r w:rsidRPr="00B13A54">
              <w:rPr>
                <w:sz w:val="28"/>
                <w:szCs w:val="28"/>
              </w:rPr>
              <w:t xml:space="preserve"> год</w:t>
            </w:r>
          </w:p>
        </w:tc>
        <w:tc>
          <w:tcPr>
            <w:tcW w:w="1290" w:type="dxa"/>
            <w:vMerge w:val="restart"/>
            <w:tcBorders>
              <w:top w:val="single" w:sz="4" w:space="0" w:color="000000"/>
              <w:left w:val="single" w:sz="4" w:space="0" w:color="000000"/>
              <w:right w:val="single" w:sz="4" w:space="0" w:color="000000"/>
            </w:tcBorders>
            <w:vAlign w:val="center"/>
          </w:tcPr>
          <w:p w:rsidR="002F7C59" w:rsidRPr="00B13A54" w:rsidRDefault="002F7C59" w:rsidP="000276A2">
            <w:pPr>
              <w:ind w:firstLine="0"/>
              <w:jc w:val="center"/>
              <w:rPr>
                <w:sz w:val="28"/>
                <w:szCs w:val="28"/>
              </w:rPr>
            </w:pPr>
            <w:r w:rsidRPr="00B13A54">
              <w:rPr>
                <w:sz w:val="28"/>
                <w:szCs w:val="28"/>
              </w:rPr>
              <w:t>202</w:t>
            </w:r>
            <w:r>
              <w:rPr>
                <w:sz w:val="28"/>
                <w:szCs w:val="28"/>
              </w:rPr>
              <w:t>2</w:t>
            </w:r>
            <w:r w:rsidRPr="00B13A54">
              <w:rPr>
                <w:sz w:val="28"/>
                <w:szCs w:val="28"/>
              </w:rPr>
              <w:t xml:space="preserve"> год (оценка)</w:t>
            </w:r>
          </w:p>
        </w:tc>
      </w:tr>
      <w:tr w:rsidR="002F7C59" w:rsidRPr="00890AA8" w:rsidTr="000276A2">
        <w:trPr>
          <w:trHeight w:val="539"/>
          <w:tblHeader/>
        </w:trPr>
        <w:tc>
          <w:tcPr>
            <w:tcW w:w="4111" w:type="dxa"/>
            <w:vMerge/>
            <w:tcBorders>
              <w:top w:val="single" w:sz="4" w:space="0" w:color="000000"/>
              <w:left w:val="single" w:sz="4" w:space="0" w:color="000000"/>
              <w:bottom w:val="single" w:sz="4" w:space="0" w:color="000000"/>
            </w:tcBorders>
            <w:vAlign w:val="center"/>
          </w:tcPr>
          <w:p w:rsidR="002F7C59" w:rsidRPr="00890AA8" w:rsidRDefault="002F7C59" w:rsidP="000276A2">
            <w:pPr>
              <w:pStyle w:val="230"/>
              <w:snapToGrid w:val="0"/>
              <w:spacing w:after="0" w:line="276" w:lineRule="auto"/>
              <w:ind w:left="0" w:firstLine="0"/>
              <w:jc w:val="center"/>
              <w:rPr>
                <w:sz w:val="28"/>
                <w:szCs w:val="28"/>
                <w:highlight w:val="yellow"/>
              </w:rPr>
            </w:pPr>
          </w:p>
        </w:tc>
        <w:tc>
          <w:tcPr>
            <w:tcW w:w="1276" w:type="dxa"/>
            <w:vMerge/>
            <w:tcBorders>
              <w:top w:val="single" w:sz="4" w:space="0" w:color="000000"/>
              <w:left w:val="single" w:sz="4" w:space="0" w:color="000000"/>
              <w:bottom w:val="single" w:sz="4" w:space="0" w:color="000000"/>
            </w:tcBorders>
            <w:vAlign w:val="center"/>
          </w:tcPr>
          <w:p w:rsidR="002F7C59" w:rsidRPr="00890AA8" w:rsidRDefault="002F7C59" w:rsidP="000276A2">
            <w:pPr>
              <w:pStyle w:val="230"/>
              <w:snapToGrid w:val="0"/>
              <w:spacing w:after="0" w:line="240" w:lineRule="auto"/>
              <w:ind w:left="0" w:firstLine="0"/>
              <w:jc w:val="center"/>
              <w:rPr>
                <w:sz w:val="28"/>
                <w:szCs w:val="28"/>
                <w:highlight w:val="yellow"/>
              </w:rPr>
            </w:pPr>
          </w:p>
        </w:tc>
        <w:tc>
          <w:tcPr>
            <w:tcW w:w="1417" w:type="dxa"/>
            <w:tcBorders>
              <w:top w:val="single" w:sz="4" w:space="0" w:color="000000"/>
              <w:left w:val="single" w:sz="4" w:space="0" w:color="000000"/>
              <w:bottom w:val="single" w:sz="4" w:space="0" w:color="000000"/>
            </w:tcBorders>
            <w:vAlign w:val="center"/>
          </w:tcPr>
          <w:p w:rsidR="002F7C59" w:rsidRPr="00B13A54" w:rsidRDefault="002F7C59" w:rsidP="000276A2">
            <w:pPr>
              <w:ind w:firstLine="0"/>
              <w:jc w:val="center"/>
              <w:rPr>
                <w:sz w:val="28"/>
                <w:szCs w:val="28"/>
              </w:rPr>
            </w:pPr>
            <w:r w:rsidRPr="00B13A54">
              <w:rPr>
                <w:sz w:val="28"/>
                <w:szCs w:val="28"/>
              </w:rPr>
              <w:t>консерва-тивный</w:t>
            </w:r>
          </w:p>
        </w:tc>
        <w:tc>
          <w:tcPr>
            <w:tcW w:w="1276" w:type="dxa"/>
            <w:tcBorders>
              <w:top w:val="single" w:sz="4" w:space="0" w:color="000000"/>
              <w:left w:val="single" w:sz="4" w:space="0" w:color="000000"/>
              <w:bottom w:val="single" w:sz="4" w:space="0" w:color="000000"/>
            </w:tcBorders>
            <w:vAlign w:val="center"/>
          </w:tcPr>
          <w:p w:rsidR="002F7C59" w:rsidRPr="00B13A54" w:rsidRDefault="002F7C59" w:rsidP="000276A2">
            <w:pPr>
              <w:ind w:firstLine="0"/>
              <w:jc w:val="center"/>
              <w:rPr>
                <w:sz w:val="28"/>
                <w:szCs w:val="28"/>
              </w:rPr>
            </w:pPr>
            <w:r w:rsidRPr="00B13A54">
              <w:rPr>
                <w:sz w:val="28"/>
                <w:szCs w:val="28"/>
              </w:rPr>
              <w:t>базовый</w:t>
            </w:r>
          </w:p>
        </w:tc>
        <w:tc>
          <w:tcPr>
            <w:tcW w:w="1290" w:type="dxa"/>
            <w:vMerge/>
            <w:tcBorders>
              <w:left w:val="single" w:sz="4" w:space="0" w:color="000000"/>
              <w:bottom w:val="single" w:sz="4" w:space="0" w:color="000000"/>
              <w:right w:val="single" w:sz="4" w:space="0" w:color="000000"/>
            </w:tcBorders>
            <w:vAlign w:val="center"/>
          </w:tcPr>
          <w:p w:rsidR="002F7C59" w:rsidRPr="00890AA8" w:rsidRDefault="002F7C59" w:rsidP="000276A2">
            <w:pPr>
              <w:pStyle w:val="230"/>
              <w:snapToGrid w:val="0"/>
              <w:spacing w:after="0" w:line="276" w:lineRule="auto"/>
              <w:ind w:left="0" w:firstLine="0"/>
              <w:jc w:val="center"/>
              <w:rPr>
                <w:sz w:val="28"/>
                <w:szCs w:val="28"/>
                <w:highlight w:val="yellow"/>
              </w:rPr>
            </w:pPr>
          </w:p>
        </w:tc>
      </w:tr>
      <w:tr w:rsidR="002F7C59" w:rsidRPr="00890AA8" w:rsidTr="000276A2">
        <w:trPr>
          <w:cantSplit/>
          <w:trHeight w:val="539"/>
        </w:trPr>
        <w:tc>
          <w:tcPr>
            <w:tcW w:w="4111" w:type="dxa"/>
            <w:tcBorders>
              <w:top w:val="single" w:sz="4" w:space="0" w:color="000000"/>
              <w:left w:val="single" w:sz="4" w:space="0" w:color="000000"/>
              <w:bottom w:val="single" w:sz="4" w:space="0" w:color="000000"/>
            </w:tcBorders>
          </w:tcPr>
          <w:p w:rsidR="002F7C59" w:rsidRPr="00CD47A7" w:rsidRDefault="002F7C59" w:rsidP="000276A2">
            <w:pPr>
              <w:pStyle w:val="230"/>
              <w:snapToGrid w:val="0"/>
              <w:spacing w:after="0" w:line="276" w:lineRule="auto"/>
              <w:ind w:left="0" w:firstLine="0"/>
              <w:jc w:val="left"/>
              <w:rPr>
                <w:sz w:val="28"/>
                <w:szCs w:val="28"/>
              </w:rPr>
            </w:pPr>
            <w:r>
              <w:rPr>
                <w:sz w:val="28"/>
                <w:szCs w:val="28"/>
              </w:rPr>
              <w:t>Фонд заработной платы работников (с учетом малых предприятий)</w:t>
            </w:r>
          </w:p>
        </w:tc>
        <w:tc>
          <w:tcPr>
            <w:tcW w:w="1276" w:type="dxa"/>
            <w:tcBorders>
              <w:top w:val="single" w:sz="4" w:space="0" w:color="000000"/>
              <w:left w:val="single" w:sz="4" w:space="0" w:color="000000"/>
              <w:bottom w:val="single" w:sz="4" w:space="0" w:color="000000"/>
            </w:tcBorders>
            <w:vAlign w:val="bottom"/>
          </w:tcPr>
          <w:p w:rsidR="002F7C59" w:rsidRPr="00CD47A7" w:rsidRDefault="002F7C59" w:rsidP="000276A2">
            <w:pPr>
              <w:pStyle w:val="230"/>
              <w:snapToGrid w:val="0"/>
              <w:spacing w:after="0" w:line="240" w:lineRule="auto"/>
              <w:ind w:left="0" w:firstLine="0"/>
              <w:jc w:val="center"/>
              <w:rPr>
                <w:sz w:val="28"/>
                <w:szCs w:val="28"/>
              </w:rPr>
            </w:pPr>
            <w:r>
              <w:rPr>
                <w:sz w:val="28"/>
                <w:szCs w:val="28"/>
              </w:rPr>
              <w:t>млн. рублей</w:t>
            </w:r>
          </w:p>
        </w:tc>
        <w:tc>
          <w:tcPr>
            <w:tcW w:w="1417" w:type="dxa"/>
            <w:tcBorders>
              <w:top w:val="single" w:sz="4" w:space="0" w:color="000000"/>
              <w:left w:val="single" w:sz="4" w:space="0" w:color="000000"/>
              <w:bottom w:val="single" w:sz="4" w:space="0" w:color="000000"/>
            </w:tcBorders>
            <w:vAlign w:val="center"/>
          </w:tcPr>
          <w:p w:rsidR="002F7C59" w:rsidRPr="008737D5" w:rsidRDefault="002F7C59" w:rsidP="000276A2">
            <w:pPr>
              <w:pStyle w:val="230"/>
              <w:snapToGrid w:val="0"/>
              <w:spacing w:after="0" w:line="276" w:lineRule="auto"/>
              <w:ind w:left="0" w:firstLine="0"/>
              <w:jc w:val="center"/>
              <w:rPr>
                <w:sz w:val="28"/>
                <w:szCs w:val="28"/>
              </w:rPr>
            </w:pPr>
            <w:r w:rsidRPr="008737D5">
              <w:rPr>
                <w:sz w:val="28"/>
                <w:szCs w:val="28"/>
              </w:rPr>
              <w:t>-</w:t>
            </w:r>
            <w:r w:rsidRPr="008737D5">
              <w:rPr>
                <w:sz w:val="28"/>
                <w:szCs w:val="28"/>
                <w:vertAlign w:val="superscript"/>
              </w:rPr>
              <w:t>1</w:t>
            </w:r>
          </w:p>
        </w:tc>
        <w:tc>
          <w:tcPr>
            <w:tcW w:w="1276" w:type="dxa"/>
            <w:tcBorders>
              <w:top w:val="single" w:sz="4" w:space="0" w:color="000000"/>
              <w:left w:val="single" w:sz="4" w:space="0" w:color="000000"/>
              <w:bottom w:val="single" w:sz="4" w:space="0" w:color="000000"/>
            </w:tcBorders>
            <w:vAlign w:val="center"/>
          </w:tcPr>
          <w:p w:rsidR="002F7C59" w:rsidRPr="008737D5" w:rsidRDefault="002F7C59" w:rsidP="000276A2">
            <w:pPr>
              <w:pStyle w:val="230"/>
              <w:snapToGrid w:val="0"/>
              <w:spacing w:after="0" w:line="276" w:lineRule="auto"/>
              <w:ind w:left="0" w:firstLine="0"/>
              <w:jc w:val="center"/>
              <w:rPr>
                <w:sz w:val="28"/>
                <w:szCs w:val="28"/>
              </w:rPr>
            </w:pPr>
            <w:r w:rsidRPr="008737D5">
              <w:rPr>
                <w:sz w:val="28"/>
                <w:szCs w:val="28"/>
              </w:rPr>
              <w:t>-</w:t>
            </w:r>
            <w:r w:rsidRPr="008737D5">
              <w:rPr>
                <w:sz w:val="28"/>
                <w:szCs w:val="28"/>
                <w:vertAlign w:val="superscript"/>
              </w:rPr>
              <w:t>1</w:t>
            </w:r>
          </w:p>
        </w:tc>
        <w:tc>
          <w:tcPr>
            <w:tcW w:w="1290" w:type="dxa"/>
            <w:tcBorders>
              <w:left w:val="single" w:sz="4" w:space="0" w:color="000000"/>
              <w:bottom w:val="single" w:sz="4" w:space="0" w:color="000000"/>
              <w:right w:val="single" w:sz="4" w:space="0" w:color="000000"/>
            </w:tcBorders>
            <w:vAlign w:val="center"/>
          </w:tcPr>
          <w:p w:rsidR="002F7C59" w:rsidRPr="008737D5" w:rsidRDefault="002F7C59" w:rsidP="000276A2">
            <w:pPr>
              <w:pStyle w:val="230"/>
              <w:snapToGrid w:val="0"/>
              <w:spacing w:after="0" w:line="276" w:lineRule="auto"/>
              <w:ind w:left="0" w:firstLine="0"/>
              <w:jc w:val="center"/>
              <w:rPr>
                <w:sz w:val="28"/>
                <w:szCs w:val="28"/>
              </w:rPr>
            </w:pPr>
            <w:r w:rsidRPr="008737D5">
              <w:rPr>
                <w:sz w:val="28"/>
                <w:szCs w:val="28"/>
              </w:rPr>
              <w:t>117990</w:t>
            </w:r>
          </w:p>
        </w:tc>
      </w:tr>
      <w:tr w:rsidR="002F7C59" w:rsidRPr="00890AA8" w:rsidTr="000276A2">
        <w:trPr>
          <w:cantSplit/>
        </w:trPr>
        <w:tc>
          <w:tcPr>
            <w:tcW w:w="4111" w:type="dxa"/>
            <w:tcBorders>
              <w:top w:val="single" w:sz="4" w:space="0" w:color="000000"/>
              <w:left w:val="single" w:sz="4" w:space="0" w:color="000000"/>
              <w:bottom w:val="single" w:sz="4" w:space="0" w:color="000000"/>
            </w:tcBorders>
            <w:shd w:val="clear" w:color="auto" w:fill="auto"/>
          </w:tcPr>
          <w:p w:rsidR="002F7C59" w:rsidRPr="00CD47A7" w:rsidRDefault="002F7C59" w:rsidP="000276A2">
            <w:pPr>
              <w:pStyle w:val="230"/>
              <w:spacing w:after="0" w:line="240" w:lineRule="auto"/>
              <w:ind w:left="0" w:firstLine="0"/>
              <w:rPr>
                <w:sz w:val="28"/>
                <w:szCs w:val="28"/>
              </w:rPr>
            </w:pPr>
            <w:r w:rsidRPr="00CD47A7">
              <w:rPr>
                <w:sz w:val="28"/>
                <w:szCs w:val="28"/>
              </w:rPr>
              <w:t xml:space="preserve">Среднемесячная номинальная начисленная заработная плата работников организаций, не относящихся к субъектам </w:t>
            </w:r>
          </w:p>
        </w:tc>
        <w:tc>
          <w:tcPr>
            <w:tcW w:w="1276" w:type="dxa"/>
            <w:tcBorders>
              <w:top w:val="single" w:sz="4" w:space="0" w:color="000000"/>
              <w:left w:val="single" w:sz="4" w:space="0" w:color="000000"/>
              <w:bottom w:val="single" w:sz="4" w:space="0" w:color="000000"/>
            </w:tcBorders>
            <w:shd w:val="clear" w:color="auto" w:fill="auto"/>
            <w:vAlign w:val="bottom"/>
          </w:tcPr>
          <w:p w:rsidR="002F7C59" w:rsidRPr="00CD47A7" w:rsidRDefault="002F7C59" w:rsidP="000276A2">
            <w:pPr>
              <w:pStyle w:val="230"/>
              <w:spacing w:after="0" w:line="276" w:lineRule="auto"/>
              <w:ind w:left="0" w:firstLine="0"/>
              <w:jc w:val="center"/>
              <w:rPr>
                <w:sz w:val="28"/>
                <w:szCs w:val="28"/>
              </w:rPr>
            </w:pPr>
            <w:r w:rsidRPr="00CD47A7">
              <w:rPr>
                <w:sz w:val="28"/>
                <w:szCs w:val="28"/>
              </w:rPr>
              <w:t>рублей</w:t>
            </w:r>
          </w:p>
        </w:tc>
        <w:tc>
          <w:tcPr>
            <w:tcW w:w="1417" w:type="dxa"/>
            <w:tcBorders>
              <w:top w:val="single" w:sz="4" w:space="0" w:color="000000"/>
              <w:left w:val="single" w:sz="4" w:space="0" w:color="000000"/>
              <w:bottom w:val="single" w:sz="4" w:space="0" w:color="000000"/>
            </w:tcBorders>
            <w:shd w:val="clear" w:color="auto" w:fill="auto"/>
            <w:vAlign w:val="bottom"/>
          </w:tcPr>
          <w:p w:rsidR="002F7C59" w:rsidRPr="00CD47A7" w:rsidRDefault="002F7C59" w:rsidP="000276A2">
            <w:pPr>
              <w:pStyle w:val="230"/>
              <w:spacing w:after="0" w:line="276" w:lineRule="auto"/>
              <w:ind w:left="0" w:firstLine="0"/>
              <w:jc w:val="center"/>
              <w:rPr>
                <w:sz w:val="28"/>
                <w:szCs w:val="28"/>
              </w:rPr>
            </w:pPr>
            <w:r w:rsidRPr="00CD47A7">
              <w:rPr>
                <w:sz w:val="28"/>
                <w:szCs w:val="28"/>
              </w:rPr>
              <w:t>47800</w:t>
            </w:r>
          </w:p>
        </w:tc>
        <w:tc>
          <w:tcPr>
            <w:tcW w:w="1276" w:type="dxa"/>
            <w:tcBorders>
              <w:top w:val="single" w:sz="4" w:space="0" w:color="000000"/>
              <w:left w:val="single" w:sz="4" w:space="0" w:color="000000"/>
              <w:bottom w:val="single" w:sz="4" w:space="0" w:color="000000"/>
            </w:tcBorders>
            <w:shd w:val="clear" w:color="auto" w:fill="auto"/>
            <w:vAlign w:val="bottom"/>
          </w:tcPr>
          <w:p w:rsidR="002F7C59" w:rsidRPr="00CD47A7" w:rsidRDefault="002F7C59" w:rsidP="000276A2">
            <w:pPr>
              <w:pStyle w:val="230"/>
              <w:spacing w:after="0" w:line="276" w:lineRule="auto"/>
              <w:ind w:left="0" w:firstLine="0"/>
              <w:jc w:val="center"/>
              <w:rPr>
                <w:sz w:val="28"/>
                <w:szCs w:val="28"/>
              </w:rPr>
            </w:pPr>
            <w:r w:rsidRPr="00CD47A7">
              <w:rPr>
                <w:sz w:val="28"/>
                <w:szCs w:val="28"/>
              </w:rPr>
              <w:t>48200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7C59" w:rsidRPr="00CD47A7" w:rsidRDefault="002F7C59" w:rsidP="000276A2">
            <w:pPr>
              <w:pStyle w:val="230"/>
              <w:spacing w:after="0" w:line="276" w:lineRule="auto"/>
              <w:ind w:left="0" w:firstLine="0"/>
              <w:jc w:val="center"/>
              <w:rPr>
                <w:sz w:val="28"/>
                <w:szCs w:val="28"/>
              </w:rPr>
            </w:pPr>
            <w:r w:rsidRPr="00CD47A7">
              <w:rPr>
                <w:sz w:val="28"/>
                <w:szCs w:val="28"/>
              </w:rPr>
              <w:t>50440</w:t>
            </w:r>
          </w:p>
        </w:tc>
      </w:tr>
      <w:tr w:rsidR="002F7C59" w:rsidRPr="00890AA8" w:rsidTr="000276A2">
        <w:trPr>
          <w:cantSplit/>
        </w:trPr>
        <w:tc>
          <w:tcPr>
            <w:tcW w:w="4111" w:type="dxa"/>
            <w:tcBorders>
              <w:top w:val="single" w:sz="4" w:space="0" w:color="000000"/>
              <w:left w:val="single" w:sz="4" w:space="0" w:color="000000"/>
              <w:bottom w:val="single" w:sz="4" w:space="0" w:color="000000"/>
            </w:tcBorders>
            <w:shd w:val="clear" w:color="auto" w:fill="auto"/>
          </w:tcPr>
          <w:p w:rsidR="002F7C59" w:rsidRPr="00CD47A7" w:rsidRDefault="002F7C59" w:rsidP="000276A2">
            <w:pPr>
              <w:pStyle w:val="230"/>
              <w:spacing w:after="0" w:line="240" w:lineRule="auto"/>
              <w:ind w:left="0" w:firstLine="0"/>
              <w:rPr>
                <w:sz w:val="28"/>
                <w:szCs w:val="28"/>
              </w:rPr>
            </w:pPr>
            <w:r w:rsidRPr="00CD47A7">
              <w:rPr>
                <w:sz w:val="28"/>
                <w:szCs w:val="28"/>
              </w:rPr>
              <w:t>Реальная среднемесячная начисленная заработная плата работников организаций, не относящихся к субъектам малого предпринимательства</w:t>
            </w:r>
          </w:p>
        </w:tc>
        <w:tc>
          <w:tcPr>
            <w:tcW w:w="1276" w:type="dxa"/>
            <w:tcBorders>
              <w:top w:val="single" w:sz="4" w:space="0" w:color="000000"/>
              <w:left w:val="single" w:sz="4" w:space="0" w:color="000000"/>
              <w:bottom w:val="single" w:sz="4" w:space="0" w:color="000000"/>
            </w:tcBorders>
            <w:shd w:val="clear" w:color="auto" w:fill="auto"/>
            <w:vAlign w:val="bottom"/>
          </w:tcPr>
          <w:p w:rsidR="002F7C59" w:rsidRPr="00CD47A7" w:rsidRDefault="002F7C59" w:rsidP="000276A2">
            <w:pPr>
              <w:pStyle w:val="230"/>
              <w:spacing w:after="0" w:line="240" w:lineRule="auto"/>
              <w:ind w:left="0" w:firstLine="0"/>
              <w:jc w:val="center"/>
              <w:rPr>
                <w:sz w:val="28"/>
                <w:szCs w:val="28"/>
              </w:rPr>
            </w:pPr>
            <w:r w:rsidRPr="00CD47A7">
              <w:rPr>
                <w:sz w:val="28"/>
                <w:szCs w:val="28"/>
              </w:rPr>
              <w:t>%</w:t>
            </w:r>
          </w:p>
        </w:tc>
        <w:tc>
          <w:tcPr>
            <w:tcW w:w="1417" w:type="dxa"/>
            <w:tcBorders>
              <w:top w:val="single" w:sz="4" w:space="0" w:color="000000"/>
              <w:left w:val="single" w:sz="4" w:space="0" w:color="000000"/>
              <w:bottom w:val="single" w:sz="4" w:space="0" w:color="000000"/>
            </w:tcBorders>
            <w:shd w:val="clear" w:color="auto" w:fill="auto"/>
            <w:vAlign w:val="bottom"/>
          </w:tcPr>
          <w:p w:rsidR="002F7C59" w:rsidRPr="00CD47A7" w:rsidRDefault="002F7C59" w:rsidP="000276A2">
            <w:pPr>
              <w:pStyle w:val="230"/>
              <w:spacing w:after="0" w:line="240" w:lineRule="auto"/>
              <w:ind w:left="0" w:firstLine="0"/>
              <w:jc w:val="center"/>
              <w:rPr>
                <w:sz w:val="28"/>
                <w:szCs w:val="28"/>
              </w:rPr>
            </w:pPr>
            <w:r w:rsidRPr="00CD47A7">
              <w:rPr>
                <w:sz w:val="28"/>
                <w:szCs w:val="28"/>
              </w:rPr>
              <w:t>101,1</w:t>
            </w:r>
          </w:p>
        </w:tc>
        <w:tc>
          <w:tcPr>
            <w:tcW w:w="1276" w:type="dxa"/>
            <w:tcBorders>
              <w:top w:val="single" w:sz="4" w:space="0" w:color="000000"/>
              <w:left w:val="single" w:sz="4" w:space="0" w:color="000000"/>
              <w:bottom w:val="single" w:sz="4" w:space="0" w:color="000000"/>
            </w:tcBorders>
            <w:shd w:val="clear" w:color="auto" w:fill="auto"/>
            <w:vAlign w:val="bottom"/>
          </w:tcPr>
          <w:p w:rsidR="002F7C59" w:rsidRPr="00CD47A7" w:rsidRDefault="002F7C59" w:rsidP="000276A2">
            <w:pPr>
              <w:pStyle w:val="230"/>
              <w:spacing w:after="0" w:line="240" w:lineRule="auto"/>
              <w:ind w:left="0" w:firstLine="0"/>
              <w:jc w:val="center"/>
              <w:rPr>
                <w:sz w:val="28"/>
                <w:szCs w:val="28"/>
              </w:rPr>
            </w:pPr>
            <w:r w:rsidRPr="00CD47A7">
              <w:rPr>
                <w:sz w:val="28"/>
                <w:szCs w:val="28"/>
              </w:rPr>
              <w:t>102,1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7C59" w:rsidRPr="00890AA8" w:rsidRDefault="002F7C59" w:rsidP="000276A2">
            <w:pPr>
              <w:pStyle w:val="230"/>
              <w:spacing w:after="0" w:line="240" w:lineRule="auto"/>
              <w:ind w:left="0" w:firstLine="0"/>
              <w:jc w:val="center"/>
              <w:rPr>
                <w:sz w:val="28"/>
                <w:szCs w:val="28"/>
                <w:highlight w:val="yellow"/>
              </w:rPr>
            </w:pPr>
            <w:r w:rsidRPr="00CD47A7">
              <w:rPr>
                <w:sz w:val="28"/>
                <w:szCs w:val="28"/>
              </w:rPr>
              <w:t>92,0</w:t>
            </w:r>
          </w:p>
        </w:tc>
      </w:tr>
    </w:tbl>
    <w:p w:rsidR="009D0773" w:rsidRPr="005B4448" w:rsidRDefault="009D0773" w:rsidP="002F7C59">
      <w:pPr>
        <w:widowControl w:val="0"/>
        <w:suppressAutoHyphens w:val="0"/>
        <w:spacing w:line="276" w:lineRule="auto"/>
        <w:rPr>
          <w:sz w:val="22"/>
          <w:szCs w:val="22"/>
          <w:lang w:eastAsia="ar-SA"/>
        </w:rPr>
      </w:pPr>
      <w:r w:rsidRPr="005B4448">
        <w:rPr>
          <w:sz w:val="22"/>
          <w:szCs w:val="22"/>
          <w:vertAlign w:val="superscript"/>
          <w:lang w:eastAsia="ar-SA"/>
        </w:rPr>
        <w:t>1</w:t>
      </w:r>
      <w:r w:rsidRPr="005B4448">
        <w:rPr>
          <w:sz w:val="22"/>
          <w:szCs w:val="22"/>
          <w:lang w:eastAsia="ar-SA"/>
        </w:rPr>
        <w:t xml:space="preserve">- включено в соответствии с постановлением администрации городского округа Тольятти </w:t>
      </w:r>
      <w:r w:rsidR="005B4448" w:rsidRPr="005B4448">
        <w:rPr>
          <w:rFonts w:eastAsia="Calibri"/>
          <w:sz w:val="22"/>
          <w:szCs w:val="22"/>
          <w:lang w:eastAsia="en-US"/>
        </w:rPr>
        <w:t>от 19.09.2022 № 2171-п/1</w:t>
      </w:r>
      <w:r w:rsidR="005B4448" w:rsidRPr="005B4448">
        <w:rPr>
          <w:szCs w:val="24"/>
          <w:lang w:eastAsia="ar-SA"/>
        </w:rPr>
        <w:t xml:space="preserve"> </w:t>
      </w:r>
      <w:r w:rsidRPr="005B4448">
        <w:rPr>
          <w:szCs w:val="24"/>
          <w:lang w:eastAsia="ar-SA"/>
        </w:rPr>
        <w:t>«О</w:t>
      </w:r>
      <w:r w:rsidRPr="005B4448">
        <w:rPr>
          <w:sz w:val="22"/>
          <w:szCs w:val="22"/>
          <w:lang w:eastAsia="ar-SA"/>
        </w:rPr>
        <w:t xml:space="preserve">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p>
    <w:p w:rsidR="00644733" w:rsidRDefault="00644733" w:rsidP="00644733">
      <w:pPr>
        <w:pStyle w:val="2a"/>
        <w:spacing w:after="0" w:line="276" w:lineRule="auto"/>
        <w:rPr>
          <w:rFonts w:eastAsiaTheme="minorEastAsia"/>
          <w:sz w:val="28"/>
          <w:szCs w:val="28"/>
          <w:lang w:eastAsia="ru-RU"/>
        </w:rPr>
      </w:pPr>
      <w:r w:rsidRPr="00D95C1A">
        <w:rPr>
          <w:rFonts w:eastAsiaTheme="minorEastAsia"/>
          <w:sz w:val="28"/>
          <w:szCs w:val="28"/>
          <w:lang w:eastAsia="ru-RU"/>
        </w:rPr>
        <w:t xml:space="preserve">Оценка показателя по организациям, не относящимся к субъектам малого предпринимательства, на 2022 год скорректирована в сторону увеличения </w:t>
      </w:r>
      <w:r w:rsidRPr="004E6B57">
        <w:rPr>
          <w:rFonts w:eastAsiaTheme="minorEastAsia"/>
          <w:sz w:val="28"/>
          <w:szCs w:val="28"/>
          <w:lang w:eastAsia="ru-RU"/>
        </w:rPr>
        <w:t xml:space="preserve">показателя  в связи с более высоким размером заработной платы, сложившейся по факту в 2021 году (ожидалось в размере 45500 рублей, фактически сложилась в размере 47060 рублей). Оценка реальной заработной платы скорректирована </w:t>
      </w:r>
      <w:r w:rsidR="00F84E57" w:rsidRPr="004E6B57">
        <w:rPr>
          <w:rFonts w:eastAsiaTheme="minorEastAsia"/>
          <w:sz w:val="28"/>
          <w:szCs w:val="28"/>
          <w:lang w:eastAsia="ru-RU"/>
        </w:rPr>
        <w:t>до 92</w:t>
      </w:r>
      <w:r w:rsidR="00F84E57" w:rsidRPr="00D95C1A">
        <w:rPr>
          <w:rFonts w:eastAsiaTheme="minorEastAsia"/>
          <w:sz w:val="28"/>
          <w:szCs w:val="28"/>
          <w:lang w:eastAsia="ru-RU"/>
        </w:rPr>
        <w:t>,0%</w:t>
      </w:r>
      <w:r w:rsidR="00F84E57">
        <w:rPr>
          <w:rFonts w:eastAsiaTheme="minorEastAsia"/>
          <w:sz w:val="28"/>
          <w:szCs w:val="28"/>
          <w:lang w:eastAsia="ru-RU"/>
        </w:rPr>
        <w:t xml:space="preserve"> с учетом </w:t>
      </w:r>
      <w:r w:rsidRPr="004E6B57">
        <w:rPr>
          <w:rFonts w:eastAsiaTheme="minorEastAsia"/>
          <w:sz w:val="28"/>
          <w:szCs w:val="28"/>
          <w:lang w:eastAsia="ru-RU"/>
        </w:rPr>
        <w:t>индекс</w:t>
      </w:r>
      <w:r w:rsidR="00F84E57">
        <w:rPr>
          <w:rFonts w:eastAsiaTheme="minorEastAsia"/>
          <w:sz w:val="28"/>
          <w:szCs w:val="28"/>
          <w:lang w:eastAsia="ru-RU"/>
        </w:rPr>
        <w:t>а</w:t>
      </w:r>
      <w:r w:rsidRPr="004E6B57">
        <w:rPr>
          <w:rFonts w:eastAsiaTheme="minorEastAsia"/>
          <w:sz w:val="28"/>
          <w:szCs w:val="28"/>
          <w:lang w:eastAsia="ru-RU"/>
        </w:rPr>
        <w:t xml:space="preserve"> потребительских цен</w:t>
      </w:r>
      <w:r w:rsidR="00F84E57">
        <w:rPr>
          <w:rFonts w:eastAsiaTheme="minorEastAsia"/>
          <w:sz w:val="28"/>
          <w:szCs w:val="28"/>
          <w:lang w:eastAsia="ru-RU"/>
        </w:rPr>
        <w:t xml:space="preserve">, который сложился значительно выше, чем ожидалось </w:t>
      </w:r>
      <w:r w:rsidR="00D22477">
        <w:rPr>
          <w:rFonts w:eastAsiaTheme="minorEastAsia"/>
          <w:sz w:val="28"/>
          <w:szCs w:val="28"/>
          <w:lang w:eastAsia="ru-RU"/>
        </w:rPr>
        <w:t>ранее</w:t>
      </w:r>
      <w:r w:rsidRPr="00D95C1A">
        <w:rPr>
          <w:rFonts w:eastAsiaTheme="minorEastAsia"/>
          <w:sz w:val="28"/>
          <w:szCs w:val="28"/>
          <w:lang w:eastAsia="ru-RU"/>
        </w:rPr>
        <w:t>.</w:t>
      </w:r>
    </w:p>
    <w:p w:rsidR="005B4448" w:rsidRDefault="005B4448" w:rsidP="00644733">
      <w:pPr>
        <w:pStyle w:val="2a"/>
        <w:spacing w:after="0" w:line="276" w:lineRule="auto"/>
        <w:rPr>
          <w:rFonts w:eastAsiaTheme="minorEastAsia"/>
          <w:sz w:val="28"/>
          <w:szCs w:val="28"/>
          <w:lang w:eastAsia="ru-RU"/>
        </w:rPr>
      </w:pPr>
      <w:r w:rsidRPr="005B4448">
        <w:rPr>
          <w:rFonts w:eastAsiaTheme="minorEastAsia"/>
          <w:sz w:val="28"/>
          <w:szCs w:val="28"/>
          <w:lang w:eastAsia="ru-RU"/>
        </w:rPr>
        <w:t xml:space="preserve">С 2022 года в таблицу показателей Прогноза </w:t>
      </w:r>
      <w:r>
        <w:rPr>
          <w:rFonts w:eastAsiaTheme="minorEastAsia"/>
          <w:sz w:val="28"/>
          <w:szCs w:val="28"/>
          <w:lang w:eastAsia="ru-RU"/>
        </w:rPr>
        <w:t xml:space="preserve">социально-экономического развития городского округа Тольятти на очередной среднесрочный период </w:t>
      </w:r>
      <w:r w:rsidRPr="005B4448">
        <w:rPr>
          <w:rFonts w:eastAsiaTheme="minorEastAsia"/>
          <w:sz w:val="28"/>
          <w:szCs w:val="28"/>
          <w:lang w:eastAsia="ru-RU"/>
        </w:rPr>
        <w:t xml:space="preserve">вводится показатель «Фонд заработной платы работников (включая малые предприятия)», рассчитанный на основании данных Самарастата о среднесписочной численности работников по полному кругу организаций </w:t>
      </w:r>
      <w:r w:rsidR="00D22477">
        <w:rPr>
          <w:rFonts w:eastAsiaTheme="minorEastAsia"/>
          <w:sz w:val="28"/>
          <w:szCs w:val="28"/>
          <w:lang w:eastAsia="ru-RU"/>
        </w:rPr>
        <w:t>городского округа</w:t>
      </w:r>
      <w:r w:rsidRPr="005B4448">
        <w:rPr>
          <w:rFonts w:eastAsiaTheme="minorEastAsia"/>
          <w:sz w:val="28"/>
          <w:szCs w:val="28"/>
          <w:lang w:eastAsia="ru-RU"/>
        </w:rPr>
        <w:t xml:space="preserve"> Тольятти (с учетом малых предприятий) и среднемесячной номинальной начисленной заработной плате работников по полному кругу организаций </w:t>
      </w:r>
      <w:r w:rsidR="00D22477">
        <w:rPr>
          <w:rFonts w:eastAsiaTheme="minorEastAsia"/>
          <w:sz w:val="28"/>
          <w:szCs w:val="28"/>
          <w:lang w:eastAsia="ru-RU"/>
        </w:rPr>
        <w:t>городского округа</w:t>
      </w:r>
      <w:r w:rsidRPr="005B4448">
        <w:rPr>
          <w:rFonts w:eastAsiaTheme="minorEastAsia"/>
          <w:sz w:val="28"/>
          <w:szCs w:val="28"/>
          <w:lang w:eastAsia="ru-RU"/>
        </w:rPr>
        <w:t xml:space="preserve"> Тольятти (с учетом малых предприятий), значения по которым предоставляются Самарастатом для аналитических целей и по отдельности в таблице Прогноза не содержатся, но используются для расчета прогнозного значения показателя «Фонд заработной платы работников (включая малые предприятия).</w:t>
      </w:r>
    </w:p>
    <w:p w:rsidR="001D4068" w:rsidRDefault="00D22477" w:rsidP="00644733">
      <w:pPr>
        <w:pStyle w:val="2a"/>
        <w:spacing w:after="0" w:line="276" w:lineRule="auto"/>
        <w:rPr>
          <w:rFonts w:eastAsiaTheme="minorEastAsia"/>
          <w:sz w:val="28"/>
          <w:szCs w:val="28"/>
          <w:lang w:eastAsia="ru-RU"/>
        </w:rPr>
      </w:pPr>
      <w:r>
        <w:rPr>
          <w:rFonts w:eastAsiaTheme="minorEastAsia"/>
          <w:sz w:val="28"/>
          <w:szCs w:val="28"/>
          <w:lang w:eastAsia="ru-RU"/>
        </w:rPr>
        <w:t>С</w:t>
      </w:r>
      <w:r w:rsidR="005B4448">
        <w:rPr>
          <w:rFonts w:eastAsiaTheme="minorEastAsia"/>
          <w:sz w:val="28"/>
          <w:szCs w:val="28"/>
          <w:lang w:eastAsia="ru-RU"/>
        </w:rPr>
        <w:t xml:space="preserve">реднесписочная численность работников по полному кругу организаций городского округа Тольятти </w:t>
      </w:r>
      <w:r w:rsidR="001C0CF1">
        <w:rPr>
          <w:rFonts w:eastAsiaTheme="minorEastAsia"/>
          <w:sz w:val="28"/>
          <w:szCs w:val="28"/>
          <w:lang w:eastAsia="ru-RU"/>
        </w:rPr>
        <w:t xml:space="preserve">(с учетом малых предприятий) </w:t>
      </w:r>
      <w:r>
        <w:rPr>
          <w:rFonts w:eastAsiaTheme="minorEastAsia"/>
          <w:sz w:val="28"/>
          <w:szCs w:val="28"/>
          <w:lang w:eastAsia="ru-RU"/>
        </w:rPr>
        <w:t>за</w:t>
      </w:r>
      <w:r w:rsidR="001C0CF1">
        <w:rPr>
          <w:rFonts w:eastAsiaTheme="minorEastAsia"/>
          <w:sz w:val="28"/>
          <w:szCs w:val="28"/>
          <w:lang w:eastAsia="ru-RU"/>
        </w:rPr>
        <w:t xml:space="preserve"> 2022 год</w:t>
      </w:r>
      <w:r>
        <w:rPr>
          <w:rFonts w:eastAsiaTheme="minorEastAsia"/>
          <w:sz w:val="28"/>
          <w:szCs w:val="28"/>
          <w:lang w:eastAsia="ru-RU"/>
        </w:rPr>
        <w:t xml:space="preserve"> оценивается на уровне </w:t>
      </w:r>
      <w:r w:rsidR="001C0CF1">
        <w:rPr>
          <w:rFonts w:eastAsiaTheme="minorEastAsia"/>
          <w:sz w:val="28"/>
          <w:szCs w:val="28"/>
          <w:lang w:eastAsia="ru-RU"/>
        </w:rPr>
        <w:t>218,</w:t>
      </w:r>
      <w:r w:rsidR="00405B93">
        <w:rPr>
          <w:rFonts w:eastAsiaTheme="minorEastAsia"/>
          <w:sz w:val="28"/>
          <w:szCs w:val="28"/>
          <w:lang w:eastAsia="ru-RU"/>
        </w:rPr>
        <w:t>5</w:t>
      </w:r>
      <w:r w:rsidR="001C0CF1">
        <w:rPr>
          <w:rFonts w:eastAsiaTheme="minorEastAsia"/>
          <w:sz w:val="28"/>
          <w:szCs w:val="28"/>
          <w:lang w:eastAsia="ru-RU"/>
        </w:rPr>
        <w:t xml:space="preserve"> тыс. человек</w:t>
      </w:r>
      <w:r w:rsidR="00405B93">
        <w:rPr>
          <w:rFonts w:eastAsiaTheme="minorEastAsia"/>
          <w:sz w:val="28"/>
          <w:szCs w:val="28"/>
          <w:lang w:eastAsia="ru-RU"/>
        </w:rPr>
        <w:t xml:space="preserve"> (в 2021 году - по данным Росстата 222,5 тыс. человек)</w:t>
      </w:r>
      <w:r w:rsidR="00543821">
        <w:rPr>
          <w:rFonts w:eastAsiaTheme="minorEastAsia"/>
          <w:sz w:val="28"/>
          <w:szCs w:val="28"/>
          <w:lang w:eastAsia="ru-RU"/>
        </w:rPr>
        <w:t xml:space="preserve">. </w:t>
      </w:r>
    </w:p>
    <w:p w:rsidR="005B4448" w:rsidRPr="00D22477" w:rsidRDefault="001D4068" w:rsidP="00792F2B">
      <w:pPr>
        <w:widowControl w:val="0"/>
        <w:numPr>
          <w:ilvl w:val="0"/>
          <w:numId w:val="5"/>
        </w:numPr>
        <w:spacing w:line="276" w:lineRule="auto"/>
        <w:ind w:left="0" w:right="-1" w:firstLine="709"/>
        <w:rPr>
          <w:rFonts w:eastAsiaTheme="minorEastAsia"/>
          <w:sz w:val="28"/>
          <w:szCs w:val="28"/>
          <w:lang w:eastAsia="ru-RU"/>
        </w:rPr>
      </w:pPr>
      <w:r w:rsidRPr="00D22477">
        <w:rPr>
          <w:sz w:val="28"/>
          <w:szCs w:val="28"/>
        </w:rPr>
        <w:t xml:space="preserve">В I полугодии 2022 года размер заработной платы организаций городского округа Тольятти </w:t>
      </w:r>
      <w:r w:rsidRPr="00D22477">
        <w:rPr>
          <w:rFonts w:eastAsiaTheme="minorEastAsia"/>
          <w:sz w:val="28"/>
          <w:szCs w:val="28"/>
          <w:lang w:eastAsia="ru-RU"/>
        </w:rPr>
        <w:t xml:space="preserve">(с учетом малых предприятий) </w:t>
      </w:r>
      <w:r w:rsidRPr="00D22477">
        <w:rPr>
          <w:sz w:val="28"/>
          <w:szCs w:val="28"/>
        </w:rPr>
        <w:t xml:space="preserve">составил 43821 рублей (по Самарской области – 45272 рублей), что на 10,2% больше аналогичного периода 2021 года.  </w:t>
      </w:r>
      <w:r w:rsidR="00331222" w:rsidRPr="00D22477">
        <w:rPr>
          <w:rFonts w:eastAsiaTheme="minorEastAsia"/>
          <w:sz w:val="28"/>
          <w:szCs w:val="28"/>
          <w:lang w:eastAsia="ru-RU"/>
        </w:rPr>
        <w:t>С учетом динамики данных показателей в текущем году, фонд заработной платы работников (с учетом малых предприятий) за 2022 год составит 117</w:t>
      </w:r>
      <w:r w:rsidR="00405B93">
        <w:rPr>
          <w:rFonts w:eastAsiaTheme="minorEastAsia"/>
          <w:sz w:val="28"/>
          <w:szCs w:val="28"/>
          <w:lang w:eastAsia="ru-RU"/>
        </w:rPr>
        <w:t xml:space="preserve"> </w:t>
      </w:r>
      <w:r w:rsidR="00331222" w:rsidRPr="00D22477">
        <w:rPr>
          <w:rFonts w:eastAsiaTheme="minorEastAsia"/>
          <w:sz w:val="28"/>
          <w:szCs w:val="28"/>
          <w:lang w:eastAsia="ru-RU"/>
        </w:rPr>
        <w:t>990 млн. руб</w:t>
      </w:r>
      <w:r w:rsidR="007C49C2" w:rsidRPr="00D22477">
        <w:rPr>
          <w:rFonts w:eastAsiaTheme="minorEastAsia"/>
          <w:sz w:val="28"/>
          <w:szCs w:val="28"/>
          <w:lang w:eastAsia="ru-RU"/>
        </w:rPr>
        <w:t>.</w:t>
      </w:r>
    </w:p>
    <w:p w:rsidR="008F14BC" w:rsidRPr="008F14BC" w:rsidRDefault="008F14BC" w:rsidP="008F14BC">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8F14BC">
        <w:rPr>
          <w:rFonts w:eastAsia="Calibri"/>
          <w:sz w:val="28"/>
          <w:szCs w:val="28"/>
          <w:lang w:eastAsia="ru-RU"/>
        </w:rPr>
        <w:t>По данным ГУ - Отделение Пенсионного Фонда РФ по Самарской области общее количество получателей пенсий в городском округе Тольятти по состоянию на 01.01.2022 составило 202,1 тыс. человек (на 4,8 тыс. человек меньше 2021 года), в том числе по старости – 175,9 тыс. человек.</w:t>
      </w:r>
    </w:p>
    <w:p w:rsidR="008F14BC" w:rsidRPr="008F14BC" w:rsidRDefault="008F14BC" w:rsidP="008F14BC">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8F14BC">
        <w:rPr>
          <w:rFonts w:eastAsia="Calibri"/>
          <w:sz w:val="28"/>
          <w:szCs w:val="28"/>
          <w:lang w:eastAsia="ru-RU"/>
        </w:rPr>
        <w:t xml:space="preserve">По состоянию на 01.07.2022 общее количество получателей пенсий в городском округе Тольятти </w:t>
      </w:r>
      <w:r w:rsidR="00A6184B">
        <w:rPr>
          <w:rFonts w:eastAsia="Calibri"/>
          <w:sz w:val="28"/>
          <w:szCs w:val="28"/>
          <w:lang w:eastAsia="ru-RU"/>
        </w:rPr>
        <w:t xml:space="preserve">незначительно </w:t>
      </w:r>
      <w:r w:rsidRPr="008F14BC">
        <w:rPr>
          <w:rFonts w:eastAsia="Calibri"/>
          <w:sz w:val="28"/>
          <w:szCs w:val="28"/>
          <w:lang w:eastAsia="ru-RU"/>
        </w:rPr>
        <w:t>увеличилось и составило 202,3 тыс. человек.</w:t>
      </w:r>
    </w:p>
    <w:p w:rsidR="008F14BC" w:rsidRPr="008F14BC" w:rsidRDefault="008F14BC" w:rsidP="008F14BC">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8F14BC">
        <w:rPr>
          <w:rFonts w:eastAsia="Calibri"/>
          <w:sz w:val="28"/>
          <w:szCs w:val="28"/>
          <w:lang w:eastAsia="ru-RU"/>
        </w:rPr>
        <w:t>Общий средний размер назначенных пенсий на 01.07.2022 составил 19541 рубля, что на 17,1% больше аналогичного показателя на 01.07.2021 (16692 рублей).</w:t>
      </w:r>
    </w:p>
    <w:p w:rsidR="008F14BC" w:rsidRPr="008F14BC" w:rsidRDefault="008F14BC" w:rsidP="008F14BC">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8F14BC">
        <w:rPr>
          <w:rFonts w:eastAsia="Calibri"/>
          <w:sz w:val="28"/>
          <w:szCs w:val="28"/>
          <w:lang w:eastAsia="ru-RU"/>
        </w:rPr>
        <w:t>Социальные пенсии с 1 апреля 2022 года были проиндексированы на 8,6% с учетом темпов роста прожиточного минимума пенсионера в Российской Федерации за прошедший год и дополнительно проиндексированы с 1 июня 2022 года на 10%.</w:t>
      </w:r>
    </w:p>
    <w:p w:rsidR="008F14BC" w:rsidRPr="008F14BC" w:rsidRDefault="008F14BC" w:rsidP="008F14BC">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8F14BC">
        <w:rPr>
          <w:rFonts w:eastAsia="Calibri"/>
          <w:sz w:val="28"/>
          <w:szCs w:val="28"/>
          <w:lang w:eastAsia="ru-RU"/>
        </w:rPr>
        <w:t>Средний размер трудовой пенсии (по старости) по городскому округу Тольятти на 01.07.2022 составил 20566 рублей, что на 17,2% больше аналогичного периода 2021 года. Соотношение среднего размера трудовой пенсии (по старости) к средней заработной плате работников крупных и средних предприятий городского округа Тольятти составило 41,8%.</w:t>
      </w:r>
    </w:p>
    <w:p w:rsidR="00644733" w:rsidRPr="00B12A18" w:rsidRDefault="00644733" w:rsidP="00644733">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B12A18">
        <w:rPr>
          <w:sz w:val="28"/>
          <w:szCs w:val="28"/>
          <w:lang w:eastAsia="ru-RU"/>
        </w:rPr>
        <w:t>Гражданам городского округа Тольятти оказываются меры социальной поддержки.</w:t>
      </w:r>
    </w:p>
    <w:p w:rsidR="00644733" w:rsidRDefault="00644733" w:rsidP="00644733">
      <w:pPr>
        <w:tabs>
          <w:tab w:val="num" w:pos="0"/>
        </w:tabs>
        <w:suppressAutoHyphens w:val="0"/>
        <w:spacing w:line="276" w:lineRule="auto"/>
        <w:rPr>
          <w:rFonts w:eastAsia="Calibri"/>
          <w:sz w:val="28"/>
          <w:szCs w:val="28"/>
        </w:rPr>
      </w:pPr>
      <w:bookmarkStart w:id="10" w:name="_Hlk84430597"/>
      <w:r w:rsidRPr="006C1504">
        <w:rPr>
          <w:rFonts w:eastAsia="Calibri"/>
          <w:sz w:val="28"/>
          <w:szCs w:val="28"/>
        </w:rPr>
        <w:t xml:space="preserve">По данным Территориального отдела Центрального округа министерства социально – демографической и семейной политики Самарской области </w:t>
      </w:r>
      <w:bookmarkEnd w:id="10"/>
      <w:r w:rsidRPr="006C1504">
        <w:rPr>
          <w:rFonts w:eastAsia="Calibri"/>
          <w:sz w:val="28"/>
          <w:szCs w:val="28"/>
        </w:rPr>
        <w:t xml:space="preserve">в </w:t>
      </w:r>
      <w:r w:rsidRPr="006C1504">
        <w:rPr>
          <w:rFonts w:eastAsia="Calibri"/>
          <w:sz w:val="28"/>
          <w:szCs w:val="28"/>
          <w:lang w:val="en-US"/>
        </w:rPr>
        <w:t>I</w:t>
      </w:r>
      <w:r w:rsidRPr="006C1504">
        <w:rPr>
          <w:rFonts w:eastAsia="Calibri"/>
          <w:sz w:val="28"/>
          <w:szCs w:val="28"/>
        </w:rPr>
        <w:t xml:space="preserve"> полугодии 2022 года на социальные выплаты граждан с детьми городского округа Тольятти </w:t>
      </w:r>
      <w:r>
        <w:rPr>
          <w:rFonts w:eastAsia="Calibri"/>
          <w:sz w:val="28"/>
          <w:szCs w:val="28"/>
        </w:rPr>
        <w:t xml:space="preserve">за счёт средств федерального и областного бюджетов </w:t>
      </w:r>
      <w:r w:rsidRPr="006C1504">
        <w:rPr>
          <w:rFonts w:eastAsia="Calibri"/>
          <w:sz w:val="28"/>
          <w:szCs w:val="28"/>
        </w:rPr>
        <w:t>было направлено 1</w:t>
      </w:r>
      <w:r>
        <w:rPr>
          <w:rFonts w:eastAsia="Calibri"/>
          <w:sz w:val="28"/>
          <w:szCs w:val="28"/>
        </w:rPr>
        <w:t> 582,4</w:t>
      </w:r>
      <w:r w:rsidRPr="006C1504">
        <w:rPr>
          <w:rFonts w:eastAsia="Calibri"/>
          <w:sz w:val="28"/>
          <w:szCs w:val="28"/>
        </w:rPr>
        <w:t xml:space="preserve"> млн. руб</w:t>
      </w:r>
      <w:r w:rsidR="00EF2D65">
        <w:rPr>
          <w:rFonts w:eastAsia="Calibri"/>
          <w:sz w:val="28"/>
          <w:szCs w:val="28"/>
        </w:rPr>
        <w:t>.</w:t>
      </w:r>
      <w:r w:rsidRPr="006C1504">
        <w:rPr>
          <w:rFonts w:eastAsia="Calibri"/>
          <w:sz w:val="28"/>
          <w:szCs w:val="28"/>
        </w:rPr>
        <w:t>, количество получателей составило 109 165</w:t>
      </w:r>
      <w:r>
        <w:rPr>
          <w:rFonts w:eastAsia="Calibri"/>
          <w:sz w:val="28"/>
          <w:szCs w:val="28"/>
        </w:rPr>
        <w:t xml:space="preserve"> человек</w:t>
      </w:r>
      <w:r w:rsidR="00A6184B">
        <w:rPr>
          <w:rFonts w:eastAsia="Calibri"/>
          <w:sz w:val="28"/>
          <w:szCs w:val="28"/>
        </w:rPr>
        <w:t>.</w:t>
      </w:r>
      <w:r>
        <w:rPr>
          <w:rFonts w:eastAsia="Calibri"/>
          <w:sz w:val="28"/>
          <w:szCs w:val="28"/>
        </w:rPr>
        <w:t xml:space="preserve"> </w:t>
      </w:r>
    </w:p>
    <w:p w:rsidR="00644733" w:rsidRPr="002F27FD" w:rsidRDefault="00644733" w:rsidP="00644733">
      <w:pPr>
        <w:numPr>
          <w:ilvl w:val="0"/>
          <w:numId w:val="5"/>
        </w:numPr>
        <w:spacing w:line="276" w:lineRule="auto"/>
        <w:ind w:left="0" w:firstLine="709"/>
        <w:contextualSpacing/>
        <w:textAlignment w:val="top"/>
        <w:rPr>
          <w:sz w:val="28"/>
          <w:szCs w:val="28"/>
        </w:rPr>
      </w:pPr>
      <w:r w:rsidRPr="002F27FD">
        <w:rPr>
          <w:sz w:val="28"/>
          <w:szCs w:val="28"/>
        </w:rPr>
        <w:t>В 2022 году продолжилось оказание жителям Самарской области государственной социальной помощи на основании социального контракта. Право на заключение контракта имеют граждане, проживающие в семьях, где среднедушевой доход на одного члена семьи ниже величины прожиточного минимума.</w:t>
      </w:r>
      <w:r w:rsidRPr="002F27FD">
        <w:rPr>
          <w:rFonts w:eastAsia="Calibri"/>
          <w:b/>
          <w:bCs/>
          <w:kern w:val="24"/>
          <w:sz w:val="36"/>
          <w:szCs w:val="36"/>
        </w:rPr>
        <w:t xml:space="preserve"> </w:t>
      </w:r>
      <w:r w:rsidRPr="002F27FD">
        <w:rPr>
          <w:sz w:val="28"/>
          <w:szCs w:val="28"/>
        </w:rPr>
        <w:t>Максимальный размер выплаты по социальному контракту 250 тыс. руб.</w:t>
      </w:r>
      <w:r w:rsidRPr="002F27FD">
        <w:rPr>
          <w:rFonts w:eastAsia="+mn-ea"/>
          <w:b/>
          <w:bCs/>
          <w:color w:val="953735"/>
          <w:kern w:val="24"/>
          <w:sz w:val="32"/>
          <w:szCs w:val="32"/>
        </w:rPr>
        <w:t xml:space="preserve"> </w:t>
      </w:r>
      <w:r w:rsidRPr="002F27FD">
        <w:rPr>
          <w:sz w:val="28"/>
          <w:szCs w:val="28"/>
        </w:rPr>
        <w:t xml:space="preserve">По данным территориального отдела Центрального округа министерства социально – демографической и семейной политики Самарской области в </w:t>
      </w:r>
      <w:r w:rsidRPr="002F27FD">
        <w:rPr>
          <w:sz w:val="28"/>
          <w:szCs w:val="28"/>
          <w:lang w:val="en-US"/>
        </w:rPr>
        <w:t>I</w:t>
      </w:r>
      <w:r w:rsidRPr="002F27FD">
        <w:rPr>
          <w:sz w:val="28"/>
          <w:szCs w:val="28"/>
        </w:rPr>
        <w:t xml:space="preserve"> полугодии 2022 года заключен 707 социальных контрактов с гражданами городского округа Тольятти</w:t>
      </w:r>
      <w:r w:rsidR="00A52359">
        <w:rPr>
          <w:sz w:val="28"/>
          <w:szCs w:val="28"/>
        </w:rPr>
        <w:t xml:space="preserve"> на </w:t>
      </w:r>
      <w:r w:rsidR="00A52359" w:rsidRPr="008F14BC">
        <w:rPr>
          <w:sz w:val="28"/>
          <w:szCs w:val="28"/>
        </w:rPr>
        <w:t>сумму 135</w:t>
      </w:r>
      <w:r w:rsidR="008F14BC" w:rsidRPr="008F14BC">
        <w:rPr>
          <w:sz w:val="28"/>
          <w:szCs w:val="28"/>
        </w:rPr>
        <w:t xml:space="preserve"> </w:t>
      </w:r>
      <w:r w:rsidR="00A52359" w:rsidRPr="008F14BC">
        <w:rPr>
          <w:sz w:val="28"/>
          <w:szCs w:val="28"/>
        </w:rPr>
        <w:t>3</w:t>
      </w:r>
      <w:r w:rsidR="008F14BC" w:rsidRPr="008F14BC">
        <w:rPr>
          <w:sz w:val="28"/>
          <w:szCs w:val="28"/>
        </w:rPr>
        <w:t>44</w:t>
      </w:r>
      <w:r w:rsidR="00A52359" w:rsidRPr="008F14BC">
        <w:rPr>
          <w:sz w:val="28"/>
          <w:szCs w:val="28"/>
        </w:rPr>
        <w:t xml:space="preserve"> </w:t>
      </w:r>
      <w:r w:rsidR="008F14BC" w:rsidRPr="008F14BC">
        <w:rPr>
          <w:sz w:val="28"/>
          <w:szCs w:val="28"/>
        </w:rPr>
        <w:t>тыс.</w:t>
      </w:r>
      <w:r w:rsidR="00A52359" w:rsidRPr="008F14BC">
        <w:rPr>
          <w:sz w:val="28"/>
          <w:szCs w:val="28"/>
        </w:rPr>
        <w:t xml:space="preserve"> руб.</w:t>
      </w:r>
      <w:r w:rsidRPr="008F14BC">
        <w:rPr>
          <w:sz w:val="28"/>
          <w:szCs w:val="28"/>
        </w:rPr>
        <w:t>, в том числе в рамках содействия в поиске работы – 76 контрактов,</w:t>
      </w:r>
      <w:r w:rsidRPr="002F27FD">
        <w:rPr>
          <w:sz w:val="28"/>
          <w:szCs w:val="28"/>
        </w:rPr>
        <w:t xml:space="preserve"> по осуществлению индивидуальной пре</w:t>
      </w:r>
      <w:r>
        <w:rPr>
          <w:sz w:val="28"/>
          <w:szCs w:val="28"/>
        </w:rPr>
        <w:t>дпринимательской деятельности -</w:t>
      </w:r>
      <w:r w:rsidRPr="002F27FD">
        <w:rPr>
          <w:sz w:val="28"/>
          <w:szCs w:val="28"/>
        </w:rPr>
        <w:t xml:space="preserve"> 588 контрактов, осуществление иных мероприятий, направленных на преодоление гражданами трудной жизненной ситуации – 43 контрактов.</w:t>
      </w:r>
    </w:p>
    <w:p w:rsidR="00644733" w:rsidRPr="00D76E1E" w:rsidRDefault="00644733" w:rsidP="00644733">
      <w:pPr>
        <w:pStyle w:val="afb"/>
        <w:numPr>
          <w:ilvl w:val="0"/>
          <w:numId w:val="5"/>
        </w:numPr>
        <w:spacing w:line="276" w:lineRule="auto"/>
        <w:ind w:left="0" w:firstLine="709"/>
        <w:rPr>
          <w:sz w:val="28"/>
          <w:szCs w:val="28"/>
        </w:rPr>
      </w:pPr>
      <w:r w:rsidRPr="00D76E1E">
        <w:rPr>
          <w:sz w:val="28"/>
          <w:szCs w:val="28"/>
        </w:rPr>
        <w:t xml:space="preserve">В рамках выполнения мероприятий муниципальной программы городского округа Тольятти «Создание условий для улучшения качества жизни жителей городского округа Тольятти и обеспечения социальной стабильности на 2020-2024 годы», утвержденной постановлением администрации городского округа Тольятти № 2488-п/1 от 13.09.2019, в </w:t>
      </w:r>
      <w:r w:rsidR="003146DE">
        <w:rPr>
          <w:rFonts w:eastAsiaTheme="minorEastAsia"/>
          <w:sz w:val="28"/>
          <w:szCs w:val="28"/>
          <w:lang w:val="en-US" w:eastAsia="ru-RU"/>
        </w:rPr>
        <w:t>I</w:t>
      </w:r>
      <w:r w:rsidRPr="00D76E1E">
        <w:rPr>
          <w:sz w:val="28"/>
          <w:szCs w:val="28"/>
        </w:rPr>
        <w:t xml:space="preserve"> полугодии 2022 года на выплату различным льготным категориям граждан направлено 27 899,5 тыс. руб</w:t>
      </w:r>
      <w:r w:rsidR="00EF2D65">
        <w:rPr>
          <w:sz w:val="28"/>
          <w:szCs w:val="28"/>
        </w:rPr>
        <w:t>.</w:t>
      </w:r>
      <w:r w:rsidRPr="00D76E1E">
        <w:rPr>
          <w:sz w:val="28"/>
          <w:szCs w:val="28"/>
        </w:rPr>
        <w:t>, в том числе: семьям с детьми 8 749,9 тыс. руб</w:t>
      </w:r>
      <w:r w:rsidR="00EF2D65">
        <w:rPr>
          <w:sz w:val="28"/>
          <w:szCs w:val="28"/>
        </w:rPr>
        <w:t>.</w:t>
      </w:r>
      <w:r w:rsidRPr="00D76E1E">
        <w:rPr>
          <w:sz w:val="28"/>
          <w:szCs w:val="28"/>
        </w:rPr>
        <w:t>, из них:</w:t>
      </w:r>
    </w:p>
    <w:p w:rsidR="00644733" w:rsidRPr="00D76E1E" w:rsidRDefault="00644733" w:rsidP="00644733">
      <w:pPr>
        <w:pStyle w:val="afb"/>
        <w:numPr>
          <w:ilvl w:val="0"/>
          <w:numId w:val="5"/>
        </w:numPr>
        <w:spacing w:line="276" w:lineRule="auto"/>
        <w:ind w:left="0" w:firstLine="709"/>
        <w:rPr>
          <w:sz w:val="28"/>
          <w:szCs w:val="28"/>
        </w:rPr>
      </w:pPr>
      <w:r w:rsidRPr="00D76E1E">
        <w:rPr>
          <w:sz w:val="28"/>
          <w:szCs w:val="28"/>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 12 679,6 тыс. руб</w:t>
      </w:r>
      <w:r w:rsidR="00EF2D65">
        <w:rPr>
          <w:sz w:val="28"/>
          <w:szCs w:val="28"/>
        </w:rPr>
        <w:t>.</w:t>
      </w:r>
      <w:r w:rsidRPr="00D76E1E">
        <w:rPr>
          <w:sz w:val="28"/>
          <w:szCs w:val="28"/>
        </w:rPr>
        <w:t>;</w:t>
      </w:r>
    </w:p>
    <w:p w:rsidR="00644733" w:rsidRPr="00D76E1E" w:rsidRDefault="00644733" w:rsidP="00644733">
      <w:pPr>
        <w:pStyle w:val="afb"/>
        <w:numPr>
          <w:ilvl w:val="0"/>
          <w:numId w:val="5"/>
        </w:numPr>
        <w:spacing w:line="276" w:lineRule="auto"/>
        <w:ind w:left="0" w:firstLine="709"/>
        <w:rPr>
          <w:sz w:val="28"/>
          <w:szCs w:val="28"/>
        </w:rPr>
      </w:pPr>
      <w:r w:rsidRPr="00D76E1E">
        <w:rPr>
          <w:sz w:val="28"/>
          <w:szCs w:val="28"/>
        </w:rPr>
        <w:t>- ежемесячные денежные выплаты на питание детям-инвалидам -219,0 тыс. руб</w:t>
      </w:r>
      <w:r w:rsidR="00EF2D65">
        <w:rPr>
          <w:sz w:val="28"/>
          <w:szCs w:val="28"/>
        </w:rPr>
        <w:t>.</w:t>
      </w:r>
      <w:r w:rsidRPr="00D76E1E">
        <w:rPr>
          <w:sz w:val="28"/>
          <w:szCs w:val="28"/>
        </w:rPr>
        <w:t>;</w:t>
      </w:r>
    </w:p>
    <w:p w:rsidR="00644733" w:rsidRPr="00D76E1E" w:rsidRDefault="00644733" w:rsidP="00644733">
      <w:pPr>
        <w:pStyle w:val="afb"/>
        <w:numPr>
          <w:ilvl w:val="0"/>
          <w:numId w:val="5"/>
        </w:numPr>
        <w:spacing w:line="276" w:lineRule="auto"/>
        <w:ind w:left="0" w:firstLine="709"/>
        <w:rPr>
          <w:sz w:val="28"/>
          <w:szCs w:val="28"/>
        </w:rPr>
      </w:pPr>
      <w:r w:rsidRPr="00D76E1E">
        <w:rPr>
          <w:sz w:val="28"/>
          <w:szCs w:val="28"/>
        </w:rPr>
        <w:t>- предоставление денежной выплаты в целях компенсации части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 - 5 064,4 тыс. руб</w:t>
      </w:r>
      <w:r w:rsidR="00EF2D65">
        <w:rPr>
          <w:sz w:val="28"/>
          <w:szCs w:val="28"/>
        </w:rPr>
        <w:t>.</w:t>
      </w:r>
      <w:r w:rsidRPr="00D76E1E">
        <w:rPr>
          <w:sz w:val="28"/>
          <w:szCs w:val="28"/>
        </w:rPr>
        <w:t>;</w:t>
      </w:r>
    </w:p>
    <w:p w:rsidR="00644733" w:rsidRPr="00D76E1E" w:rsidRDefault="00644733" w:rsidP="00644733">
      <w:pPr>
        <w:pStyle w:val="afb"/>
        <w:numPr>
          <w:ilvl w:val="0"/>
          <w:numId w:val="5"/>
        </w:numPr>
        <w:spacing w:line="276" w:lineRule="auto"/>
        <w:ind w:left="0" w:firstLine="709"/>
        <w:rPr>
          <w:sz w:val="28"/>
          <w:szCs w:val="28"/>
        </w:rPr>
      </w:pPr>
      <w:r w:rsidRPr="00D76E1E">
        <w:rPr>
          <w:sz w:val="28"/>
          <w:szCs w:val="28"/>
        </w:rPr>
        <w:t>- предоставление ежемесячных денежных выплат для отдельных категорий граждан, имеющих детей, которые имеют право на предоставление мер социальной поддержки, установленных для детей-инвалидов законодательством Российской Федерации – 253,0 тыс. руб</w:t>
      </w:r>
      <w:r w:rsidR="00EF2D65">
        <w:rPr>
          <w:sz w:val="28"/>
          <w:szCs w:val="28"/>
        </w:rPr>
        <w:t>.</w:t>
      </w:r>
      <w:r w:rsidRPr="00D76E1E">
        <w:rPr>
          <w:sz w:val="28"/>
          <w:szCs w:val="28"/>
        </w:rPr>
        <w:t>;</w:t>
      </w:r>
    </w:p>
    <w:p w:rsidR="00644733" w:rsidRPr="008239E3" w:rsidRDefault="00644733" w:rsidP="00644733">
      <w:pPr>
        <w:pStyle w:val="afb"/>
        <w:numPr>
          <w:ilvl w:val="0"/>
          <w:numId w:val="5"/>
        </w:numPr>
        <w:spacing w:line="276" w:lineRule="auto"/>
        <w:ind w:left="0" w:firstLine="709"/>
        <w:rPr>
          <w:sz w:val="28"/>
          <w:szCs w:val="28"/>
        </w:rPr>
      </w:pPr>
      <w:r w:rsidRPr="00D76E1E">
        <w:rPr>
          <w:sz w:val="28"/>
          <w:szCs w:val="28"/>
        </w:rPr>
        <w:t>- предоставление ежемесячного пособия на содержание ребенка, переданного на воспитание в приемную семью, на патронатное воспитание - 2 594,5 тыс. руб.</w:t>
      </w:r>
    </w:p>
    <w:p w:rsidR="00644733" w:rsidRDefault="00644733" w:rsidP="00644733">
      <w:pPr>
        <w:spacing w:line="276" w:lineRule="auto"/>
        <w:rPr>
          <w:sz w:val="28"/>
          <w:szCs w:val="28"/>
        </w:rPr>
      </w:pPr>
      <w:r w:rsidRPr="00D43633">
        <w:rPr>
          <w:sz w:val="28"/>
          <w:szCs w:val="28"/>
        </w:rPr>
        <w:t>Кроме того, в рамках мер по созданию благоприятных условий в целях привлечения медицинских работников для работы в государственные учреждения здравоохранения Самарской области, расположенные на территории городского округа Тольятти разработаны и включены в муниципальную программу «Укрепление общественного здоровья на территории городского округа Тольятти» на 2021-2024 годы меры социальной поддержки медицинских работников.</w:t>
      </w:r>
    </w:p>
    <w:p w:rsidR="00644733" w:rsidRPr="00D43633" w:rsidRDefault="00644733" w:rsidP="00644733">
      <w:pPr>
        <w:spacing w:line="276" w:lineRule="auto"/>
        <w:rPr>
          <w:sz w:val="28"/>
          <w:szCs w:val="28"/>
        </w:rPr>
      </w:pPr>
      <w:r w:rsidRPr="00D43633">
        <w:rPr>
          <w:sz w:val="28"/>
          <w:szCs w:val="28"/>
        </w:rPr>
        <w:t>С января 2020 года выплачиваются ежемесячные денежные выплаты (ЕДВ):</w:t>
      </w:r>
    </w:p>
    <w:p w:rsidR="00644733" w:rsidRPr="00D43633" w:rsidRDefault="00644733" w:rsidP="00644733">
      <w:pPr>
        <w:spacing w:line="276" w:lineRule="auto"/>
        <w:rPr>
          <w:sz w:val="28"/>
          <w:szCs w:val="28"/>
        </w:rPr>
      </w:pPr>
      <w:r w:rsidRPr="00D43633">
        <w:rPr>
          <w:sz w:val="28"/>
          <w:szCs w:val="28"/>
        </w:rPr>
        <w:t>- отдельным категориям врачей, работающим с высокотехнологичным медицинским оборудованием - по 30 тыс. руб</w:t>
      </w:r>
      <w:r w:rsidR="00EF2D65">
        <w:rPr>
          <w:sz w:val="28"/>
          <w:szCs w:val="28"/>
        </w:rPr>
        <w:t>.</w:t>
      </w:r>
      <w:r w:rsidRPr="00D43633">
        <w:rPr>
          <w:sz w:val="28"/>
          <w:szCs w:val="28"/>
        </w:rPr>
        <w:t xml:space="preserve"> ежемесячно; по состоянию на 01.07.2022 ЕДВ предоставлены 9 врачам на общую сумму 1830,0</w:t>
      </w:r>
      <w:r>
        <w:rPr>
          <w:sz w:val="28"/>
          <w:szCs w:val="28"/>
        </w:rPr>
        <w:t xml:space="preserve"> тыс. руб.</w:t>
      </w:r>
      <w:r w:rsidRPr="00D43633">
        <w:rPr>
          <w:sz w:val="28"/>
          <w:szCs w:val="28"/>
        </w:rPr>
        <w:t xml:space="preserve"> (одному врачу выплаты произведены за прошлый период 2021 года);</w:t>
      </w:r>
    </w:p>
    <w:p w:rsidR="00644733" w:rsidRDefault="00644733" w:rsidP="00644733">
      <w:pPr>
        <w:spacing w:line="276" w:lineRule="auto"/>
        <w:rPr>
          <w:sz w:val="28"/>
          <w:szCs w:val="28"/>
        </w:rPr>
      </w:pPr>
      <w:r w:rsidRPr="00D43633">
        <w:rPr>
          <w:sz w:val="28"/>
          <w:szCs w:val="28"/>
        </w:rPr>
        <w:t>- на оплату жилого помещения, занимаемого по договору найма жилого помещения - по 1 тыс. руб</w:t>
      </w:r>
      <w:r w:rsidR="00EF2D65">
        <w:rPr>
          <w:sz w:val="28"/>
          <w:szCs w:val="28"/>
        </w:rPr>
        <w:t>.</w:t>
      </w:r>
      <w:r w:rsidRPr="00D43633">
        <w:rPr>
          <w:sz w:val="28"/>
          <w:szCs w:val="28"/>
        </w:rPr>
        <w:t xml:space="preserve"> ежемесячно; </w:t>
      </w:r>
      <w:r w:rsidR="00A6184B">
        <w:rPr>
          <w:sz w:val="28"/>
          <w:szCs w:val="28"/>
        </w:rPr>
        <w:t xml:space="preserve">на </w:t>
      </w:r>
      <w:r w:rsidRPr="00D43633">
        <w:rPr>
          <w:sz w:val="28"/>
          <w:szCs w:val="28"/>
        </w:rPr>
        <w:t>2022 год получатели не заявлены.</w:t>
      </w:r>
    </w:p>
    <w:p w:rsidR="00644733" w:rsidRPr="00104D1B" w:rsidRDefault="00644733" w:rsidP="00A6184B">
      <w:pPr>
        <w:spacing w:after="120" w:line="276" w:lineRule="auto"/>
        <w:rPr>
          <w:sz w:val="28"/>
          <w:szCs w:val="28"/>
        </w:rPr>
      </w:pPr>
      <w:r w:rsidRPr="00104D1B">
        <w:rPr>
          <w:sz w:val="28"/>
          <w:szCs w:val="28"/>
        </w:rPr>
        <w:t>Медицинским работникам, осуществляющим свою деятельность в государственных учреждениях здравоохранения Самарской области, расположенных на территории городского округа Тольятти, предоставляются служебные жилые помещения муниципального жилищного фонда городского округа Тольятти</w:t>
      </w:r>
      <w:r w:rsidRPr="00D43633">
        <w:rPr>
          <w:sz w:val="28"/>
          <w:szCs w:val="28"/>
        </w:rPr>
        <w:t xml:space="preserve">. </w:t>
      </w:r>
      <w:r w:rsidRPr="00F71DE0">
        <w:rPr>
          <w:sz w:val="28"/>
          <w:szCs w:val="28"/>
        </w:rPr>
        <w:t xml:space="preserve">В </w:t>
      </w:r>
      <w:r w:rsidR="003146DE" w:rsidRPr="00F71DE0">
        <w:rPr>
          <w:rFonts w:eastAsiaTheme="minorEastAsia"/>
          <w:sz w:val="28"/>
          <w:szCs w:val="28"/>
          <w:lang w:val="en-US" w:eastAsia="ru-RU"/>
        </w:rPr>
        <w:t>I</w:t>
      </w:r>
      <w:r w:rsidRPr="00F71DE0">
        <w:rPr>
          <w:sz w:val="28"/>
          <w:szCs w:val="28"/>
        </w:rPr>
        <w:t xml:space="preserve"> полугодии 2022 года жилые помещения были предоставлены 4 медицинским работникам, всего с 2020 года – 3</w:t>
      </w:r>
      <w:r w:rsidR="00F71DE0" w:rsidRPr="00F71DE0">
        <w:rPr>
          <w:sz w:val="28"/>
          <w:szCs w:val="28"/>
        </w:rPr>
        <w:t>6</w:t>
      </w:r>
      <w:r w:rsidRPr="00F71DE0">
        <w:rPr>
          <w:sz w:val="28"/>
          <w:szCs w:val="28"/>
        </w:rPr>
        <w:t xml:space="preserve"> медицинским работникам и их семьям.</w:t>
      </w:r>
    </w:p>
    <w:p w:rsidR="00A50BA4" w:rsidRPr="004B445D" w:rsidRDefault="00A50BA4" w:rsidP="00A6184B">
      <w:pPr>
        <w:widowControl w:val="0"/>
        <w:suppressAutoHyphens w:val="0"/>
        <w:autoSpaceDE w:val="0"/>
        <w:autoSpaceDN w:val="0"/>
        <w:adjustRightInd w:val="0"/>
        <w:spacing w:before="120" w:after="120" w:line="276" w:lineRule="auto"/>
        <w:ind w:firstLine="0"/>
        <w:jc w:val="center"/>
        <w:rPr>
          <w:b/>
          <w:sz w:val="28"/>
          <w:szCs w:val="28"/>
        </w:rPr>
      </w:pPr>
      <w:r w:rsidRPr="004B445D">
        <w:rPr>
          <w:b/>
          <w:sz w:val="28"/>
          <w:szCs w:val="28"/>
        </w:rPr>
        <w:t>Транспорт</w:t>
      </w:r>
      <w:bookmarkStart w:id="11" w:name="транспорт"/>
      <w:bookmarkEnd w:id="11"/>
    </w:p>
    <w:p w:rsidR="004B445D" w:rsidRDefault="004B445D" w:rsidP="00A6184B">
      <w:pPr>
        <w:suppressAutoHyphens w:val="0"/>
        <w:spacing w:line="276" w:lineRule="auto"/>
        <w:rPr>
          <w:sz w:val="28"/>
          <w:szCs w:val="28"/>
          <w:lang w:eastAsia="ru-RU"/>
        </w:rPr>
      </w:pPr>
      <w:r w:rsidRPr="004B445D">
        <w:rPr>
          <w:sz w:val="28"/>
          <w:szCs w:val="28"/>
          <w:lang w:eastAsia="ru-RU"/>
        </w:rPr>
        <w:t xml:space="preserve">На территории городского округа Тольятти </w:t>
      </w:r>
      <w:r w:rsidRPr="004B445D">
        <w:rPr>
          <w:sz w:val="28"/>
          <w:szCs w:val="28"/>
        </w:rPr>
        <w:t>функционируют 14 предприятий основно</w:t>
      </w:r>
      <w:r w:rsidR="008F14BC">
        <w:rPr>
          <w:sz w:val="28"/>
          <w:szCs w:val="28"/>
        </w:rPr>
        <w:t>го</w:t>
      </w:r>
      <w:r w:rsidRPr="004B445D">
        <w:rPr>
          <w:sz w:val="28"/>
          <w:szCs w:val="28"/>
        </w:rPr>
        <w:t xml:space="preserve"> </w:t>
      </w:r>
      <w:r w:rsidRPr="004B445D">
        <w:rPr>
          <w:sz w:val="28"/>
          <w:szCs w:val="28"/>
          <w:lang w:eastAsia="ru-RU"/>
        </w:rPr>
        <w:t>вид</w:t>
      </w:r>
      <w:r w:rsidR="008F14BC">
        <w:rPr>
          <w:sz w:val="28"/>
          <w:szCs w:val="28"/>
          <w:lang w:eastAsia="ru-RU"/>
        </w:rPr>
        <w:t>а</w:t>
      </w:r>
      <w:r w:rsidRPr="004B445D">
        <w:rPr>
          <w:sz w:val="28"/>
          <w:szCs w:val="28"/>
          <w:lang w:eastAsia="ru-RU"/>
        </w:rPr>
        <w:t xml:space="preserve"> экономической деятельности «Деятельность сухопутного транспорта» </w:t>
      </w:r>
      <w:r w:rsidRPr="004B445D">
        <w:rPr>
          <w:sz w:val="28"/>
          <w:szCs w:val="28"/>
        </w:rPr>
        <w:t xml:space="preserve">(АО «АВТОВАЗТРАНС», ООО «ТЕХНОВИЗА» и др.), </w:t>
      </w:r>
      <w:r w:rsidRPr="004B445D">
        <w:rPr>
          <w:sz w:val="28"/>
          <w:szCs w:val="28"/>
          <w:lang w:eastAsia="ru-RU"/>
        </w:rPr>
        <w:t xml:space="preserve">не относящихся к субъектам малого предпринимательства, </w:t>
      </w:r>
      <w:r w:rsidRPr="00D35A00">
        <w:rPr>
          <w:sz w:val="28"/>
          <w:szCs w:val="28"/>
          <w:lang w:eastAsia="ru-RU"/>
        </w:rPr>
        <w:t>а также</w:t>
      </w:r>
      <w:r w:rsidR="00D35A00" w:rsidRPr="00D35A00">
        <w:rPr>
          <w:sz w:val="28"/>
          <w:szCs w:val="28"/>
          <w:lang w:eastAsia="ru-RU"/>
        </w:rPr>
        <w:t xml:space="preserve"> более</w:t>
      </w:r>
      <w:r w:rsidRPr="00D35A00">
        <w:rPr>
          <w:sz w:val="28"/>
          <w:szCs w:val="28"/>
          <w:lang w:eastAsia="ru-RU"/>
        </w:rPr>
        <w:t xml:space="preserve"> 2</w:t>
      </w:r>
      <w:r w:rsidR="008F14BC">
        <w:rPr>
          <w:sz w:val="28"/>
          <w:szCs w:val="28"/>
          <w:lang w:eastAsia="ru-RU"/>
        </w:rPr>
        <w:t>,5</w:t>
      </w:r>
      <w:r w:rsidR="00D35A00" w:rsidRPr="00D35A00">
        <w:rPr>
          <w:sz w:val="28"/>
          <w:szCs w:val="28"/>
          <w:lang w:eastAsia="ru-RU"/>
        </w:rPr>
        <w:t xml:space="preserve"> </w:t>
      </w:r>
      <w:r w:rsidRPr="00D35A00">
        <w:rPr>
          <w:sz w:val="28"/>
          <w:szCs w:val="28"/>
          <w:lang w:eastAsia="ru-RU"/>
        </w:rPr>
        <w:t>тыс. субъектов малого предпринимательства данного вида деятельности.</w:t>
      </w:r>
    </w:p>
    <w:p w:rsidR="00050A45" w:rsidRDefault="004B445D" w:rsidP="00A6184B">
      <w:pPr>
        <w:spacing w:line="276" w:lineRule="auto"/>
        <w:rPr>
          <w:sz w:val="28"/>
          <w:szCs w:val="28"/>
        </w:rPr>
      </w:pPr>
      <w:r w:rsidRPr="004B445D">
        <w:rPr>
          <w:sz w:val="28"/>
          <w:szCs w:val="28"/>
        </w:rPr>
        <w:t xml:space="preserve">В </w:t>
      </w:r>
      <w:r w:rsidR="003146DE">
        <w:rPr>
          <w:rFonts w:eastAsiaTheme="minorEastAsia"/>
          <w:sz w:val="28"/>
          <w:szCs w:val="28"/>
          <w:lang w:val="en-US" w:eastAsia="ru-RU"/>
        </w:rPr>
        <w:t>I</w:t>
      </w:r>
      <w:r w:rsidRPr="004B445D">
        <w:rPr>
          <w:sz w:val="28"/>
          <w:szCs w:val="28"/>
        </w:rPr>
        <w:t xml:space="preserve"> полугодии 2022 года объем услуг предприятий транспорта составил 1 819,8 млн. руб. или 119,9% к аналогичному периоду 2021 года. </w:t>
      </w:r>
      <w:r w:rsidR="00050A45">
        <w:rPr>
          <w:sz w:val="28"/>
          <w:szCs w:val="28"/>
        </w:rPr>
        <w:t>В отчетном периоде</w:t>
      </w:r>
      <w:r w:rsidRPr="004B445D">
        <w:rPr>
          <w:sz w:val="28"/>
          <w:szCs w:val="28"/>
        </w:rPr>
        <w:t xml:space="preserve"> предприятиями, не относящим</w:t>
      </w:r>
      <w:r w:rsidR="00A6184B">
        <w:rPr>
          <w:sz w:val="28"/>
          <w:szCs w:val="28"/>
        </w:rPr>
        <w:t>и</w:t>
      </w:r>
      <w:r w:rsidRPr="004B445D">
        <w:rPr>
          <w:sz w:val="28"/>
          <w:szCs w:val="28"/>
        </w:rPr>
        <w:t>ся к субъектам малого предпринимательства</w:t>
      </w:r>
      <w:r w:rsidR="003D1816">
        <w:rPr>
          <w:sz w:val="28"/>
          <w:szCs w:val="28"/>
        </w:rPr>
        <w:t>,</w:t>
      </w:r>
      <w:r w:rsidRPr="004B445D">
        <w:rPr>
          <w:sz w:val="28"/>
          <w:szCs w:val="28"/>
        </w:rPr>
        <w:t xml:space="preserve"> перевезено 688,1 тыс. тонн</w:t>
      </w:r>
      <w:r w:rsidR="00A6184B">
        <w:rPr>
          <w:sz w:val="28"/>
          <w:szCs w:val="28"/>
        </w:rPr>
        <w:t xml:space="preserve"> </w:t>
      </w:r>
      <w:r w:rsidR="00A6184B" w:rsidRPr="004B445D">
        <w:rPr>
          <w:sz w:val="28"/>
          <w:szCs w:val="28"/>
        </w:rPr>
        <w:t>грузов</w:t>
      </w:r>
      <w:r w:rsidRPr="004B445D">
        <w:rPr>
          <w:sz w:val="28"/>
          <w:szCs w:val="28"/>
        </w:rPr>
        <w:t>, что на 29,3% выше аналогичного периода прошлого года.</w:t>
      </w:r>
    </w:p>
    <w:p w:rsidR="00050A45" w:rsidRDefault="00050A45" w:rsidP="00050A45">
      <w:pPr>
        <w:spacing w:line="276" w:lineRule="auto"/>
        <w:rPr>
          <w:sz w:val="28"/>
          <w:szCs w:val="28"/>
        </w:rPr>
      </w:pPr>
      <w:r w:rsidRPr="004B445D">
        <w:rPr>
          <w:sz w:val="28"/>
          <w:szCs w:val="28"/>
        </w:rPr>
        <w:t>Рост показател</w:t>
      </w:r>
      <w:r>
        <w:rPr>
          <w:sz w:val="28"/>
          <w:szCs w:val="28"/>
        </w:rPr>
        <w:t>ей</w:t>
      </w:r>
      <w:r w:rsidRPr="004B445D">
        <w:rPr>
          <w:sz w:val="28"/>
          <w:szCs w:val="28"/>
        </w:rPr>
        <w:t xml:space="preserve"> </w:t>
      </w:r>
      <w:r>
        <w:rPr>
          <w:sz w:val="28"/>
          <w:szCs w:val="28"/>
        </w:rPr>
        <w:t>связан с приходом ново</w:t>
      </w:r>
      <w:r w:rsidR="003D1816">
        <w:rPr>
          <w:sz w:val="28"/>
          <w:szCs w:val="28"/>
        </w:rPr>
        <w:t>й</w:t>
      </w:r>
      <w:r>
        <w:rPr>
          <w:sz w:val="28"/>
          <w:szCs w:val="28"/>
        </w:rPr>
        <w:t xml:space="preserve"> </w:t>
      </w:r>
      <w:r w:rsidR="003D1816">
        <w:rPr>
          <w:sz w:val="28"/>
          <w:szCs w:val="28"/>
        </w:rPr>
        <w:t>организации</w:t>
      </w:r>
      <w:r>
        <w:rPr>
          <w:sz w:val="28"/>
          <w:szCs w:val="28"/>
        </w:rPr>
        <w:t xml:space="preserve"> на рынок грузоперевозок - </w:t>
      </w:r>
      <w:r w:rsidRPr="004B445D">
        <w:rPr>
          <w:sz w:val="28"/>
          <w:szCs w:val="28"/>
        </w:rPr>
        <w:t>ООО «Сум-Транс-Сервис»</w:t>
      </w:r>
      <w:r>
        <w:rPr>
          <w:sz w:val="28"/>
          <w:szCs w:val="28"/>
        </w:rPr>
        <w:t>, специализирующийся на перевозке мусора, которое сменило статус малого предприятия и вошло в число крупных и средних предприятий.</w:t>
      </w:r>
    </w:p>
    <w:p w:rsidR="004B445D" w:rsidRPr="004B445D" w:rsidRDefault="004B445D" w:rsidP="004B445D">
      <w:pPr>
        <w:widowControl w:val="0"/>
        <w:spacing w:line="276" w:lineRule="auto"/>
        <w:rPr>
          <w:sz w:val="28"/>
          <w:szCs w:val="28"/>
        </w:rPr>
      </w:pPr>
      <w:r w:rsidRPr="004B445D">
        <w:rPr>
          <w:sz w:val="28"/>
          <w:szCs w:val="28"/>
        </w:rPr>
        <w:t>В общем объеме перевезенных грузов доля перевозок, осуществляемых на коммерческой основе, составила 56,9%.</w:t>
      </w:r>
    </w:p>
    <w:p w:rsidR="004B445D" w:rsidRDefault="004B445D" w:rsidP="004B445D">
      <w:pPr>
        <w:widowControl w:val="0"/>
        <w:spacing w:line="276" w:lineRule="auto"/>
        <w:rPr>
          <w:sz w:val="28"/>
          <w:szCs w:val="28"/>
        </w:rPr>
      </w:pPr>
      <w:r w:rsidRPr="004B445D">
        <w:rPr>
          <w:sz w:val="28"/>
          <w:szCs w:val="28"/>
        </w:rPr>
        <w:t xml:space="preserve"> Грузооборот (без трубопроводного транспорта) в январе–июне 2022 года снизился на 21,3% и составил 105,3 млн. т. км. Снижение грузооборота происходит на протяжении последних трех лет и обусловлено сокращением средней дальности перевозок транспортных предприятий города (в </w:t>
      </w:r>
      <w:r w:rsidR="003146DE">
        <w:rPr>
          <w:rFonts w:eastAsiaTheme="minorEastAsia"/>
          <w:sz w:val="28"/>
          <w:szCs w:val="28"/>
          <w:lang w:val="en-US" w:eastAsia="ru-RU"/>
        </w:rPr>
        <w:t>I</w:t>
      </w:r>
      <w:r w:rsidRPr="004B445D">
        <w:rPr>
          <w:sz w:val="28"/>
          <w:szCs w:val="28"/>
        </w:rPr>
        <w:t xml:space="preserve"> полугодии 2022 года </w:t>
      </w:r>
      <w:r w:rsidR="00A6184B">
        <w:rPr>
          <w:sz w:val="28"/>
          <w:szCs w:val="28"/>
        </w:rPr>
        <w:t xml:space="preserve">- </w:t>
      </w:r>
      <w:r w:rsidRPr="004B445D">
        <w:rPr>
          <w:sz w:val="28"/>
          <w:szCs w:val="28"/>
        </w:rPr>
        <w:t>на 36,4% к соответствующему периоду прошлого года).</w:t>
      </w:r>
    </w:p>
    <w:p w:rsidR="004B445D" w:rsidRPr="004B445D" w:rsidRDefault="004B445D" w:rsidP="004B445D">
      <w:pPr>
        <w:spacing w:line="276" w:lineRule="auto"/>
        <w:rPr>
          <w:color w:val="000000"/>
          <w:sz w:val="28"/>
          <w:szCs w:val="28"/>
        </w:rPr>
      </w:pPr>
      <w:r w:rsidRPr="004B445D">
        <w:rPr>
          <w:color w:val="000000"/>
          <w:sz w:val="28"/>
          <w:szCs w:val="28"/>
        </w:rPr>
        <w:t xml:space="preserve">В 2022 году регулярные пассажирские перевозки в городском округе Тольятти осуществляют 13 предприятий транспорта: МП «ТТУ» - 11 маршрутов, МП «ТПАТП № 3» - 63 маршрута, общества с ограниченной ответственностью (11 фирм) - 29 маршрутов. Регулярные перевозки по регулируемым тарифам осуществляются МП «ТПАТП № 3» и МП «ТТУ» на основании муниципальных контрактов на выполнение работ, связанных с осуществлением регулярных перевозок по муниципальным маршрутам по регулируемым тарифам (далее </w:t>
      </w:r>
      <w:r w:rsidR="003D1816">
        <w:rPr>
          <w:color w:val="000000"/>
          <w:sz w:val="28"/>
          <w:szCs w:val="28"/>
        </w:rPr>
        <w:t xml:space="preserve">по разделу </w:t>
      </w:r>
      <w:r w:rsidRPr="004B445D">
        <w:rPr>
          <w:color w:val="000000"/>
          <w:sz w:val="28"/>
          <w:szCs w:val="28"/>
        </w:rPr>
        <w:t xml:space="preserve">– муниципальный контракт). </w:t>
      </w:r>
    </w:p>
    <w:p w:rsidR="004B445D" w:rsidRPr="004B445D" w:rsidRDefault="004B445D" w:rsidP="004B445D">
      <w:pPr>
        <w:spacing w:line="276" w:lineRule="auto"/>
        <w:rPr>
          <w:color w:val="000000"/>
          <w:sz w:val="28"/>
          <w:szCs w:val="28"/>
        </w:rPr>
      </w:pPr>
      <w:r w:rsidRPr="004B445D">
        <w:rPr>
          <w:color w:val="000000"/>
          <w:sz w:val="28"/>
          <w:szCs w:val="28"/>
        </w:rPr>
        <w:t>Срок действия муниципальных контрактов:</w:t>
      </w:r>
    </w:p>
    <w:p w:rsidR="004B445D" w:rsidRPr="004B445D" w:rsidRDefault="004B445D" w:rsidP="004B445D">
      <w:pPr>
        <w:spacing w:line="276" w:lineRule="auto"/>
        <w:rPr>
          <w:color w:val="000000"/>
          <w:sz w:val="28"/>
          <w:szCs w:val="28"/>
        </w:rPr>
      </w:pPr>
      <w:r w:rsidRPr="004B445D">
        <w:rPr>
          <w:color w:val="000000"/>
          <w:sz w:val="28"/>
          <w:szCs w:val="28"/>
        </w:rPr>
        <w:t xml:space="preserve">МП «ТПАТП № 3» с 01.12.2021 по 31.12.2023, </w:t>
      </w:r>
    </w:p>
    <w:p w:rsidR="004B445D" w:rsidRPr="004B445D" w:rsidRDefault="004B445D" w:rsidP="004B445D">
      <w:pPr>
        <w:spacing w:line="276" w:lineRule="auto"/>
        <w:rPr>
          <w:color w:val="000000"/>
          <w:sz w:val="28"/>
          <w:szCs w:val="28"/>
        </w:rPr>
      </w:pPr>
      <w:r w:rsidRPr="004B445D">
        <w:rPr>
          <w:color w:val="000000"/>
          <w:sz w:val="28"/>
          <w:szCs w:val="28"/>
        </w:rPr>
        <w:t>МП «ТТУ» с 01.12.2021 по 31.01.2023</w:t>
      </w:r>
      <w:bookmarkStart w:id="12" w:name="_GoBack"/>
      <w:bookmarkEnd w:id="12"/>
      <w:r w:rsidRPr="004B445D">
        <w:rPr>
          <w:color w:val="000000"/>
          <w:sz w:val="28"/>
          <w:szCs w:val="28"/>
        </w:rPr>
        <w:t>.</w:t>
      </w:r>
    </w:p>
    <w:p w:rsidR="004B445D" w:rsidRPr="004B445D" w:rsidRDefault="004B445D" w:rsidP="004B445D">
      <w:pPr>
        <w:spacing w:line="276" w:lineRule="auto"/>
        <w:rPr>
          <w:color w:val="000000"/>
          <w:sz w:val="28"/>
          <w:szCs w:val="28"/>
        </w:rPr>
      </w:pPr>
      <w:r w:rsidRPr="004B445D">
        <w:rPr>
          <w:color w:val="000000"/>
          <w:sz w:val="28"/>
          <w:szCs w:val="28"/>
        </w:rPr>
        <w:t>Регулярные перевозки по нерегулируемым тарифам осуществляются на основании свидетельств об осуществлении регулярных перевозок по маршрутам.</w:t>
      </w:r>
    </w:p>
    <w:p w:rsidR="004B445D" w:rsidRPr="004B445D" w:rsidRDefault="004B445D" w:rsidP="004B445D">
      <w:pPr>
        <w:spacing w:line="276" w:lineRule="auto"/>
        <w:rPr>
          <w:color w:val="000000"/>
          <w:sz w:val="28"/>
          <w:szCs w:val="28"/>
        </w:rPr>
      </w:pPr>
      <w:r w:rsidRPr="004B445D">
        <w:rPr>
          <w:color w:val="000000"/>
          <w:sz w:val="28"/>
          <w:szCs w:val="28"/>
        </w:rPr>
        <w:t>Срок действия свидетельств, выданных на период:</w:t>
      </w:r>
    </w:p>
    <w:p w:rsidR="004B445D" w:rsidRPr="004B445D" w:rsidRDefault="004B445D" w:rsidP="004B445D">
      <w:pPr>
        <w:spacing w:line="276" w:lineRule="auto"/>
        <w:rPr>
          <w:color w:val="000000"/>
          <w:sz w:val="28"/>
          <w:szCs w:val="28"/>
        </w:rPr>
      </w:pPr>
      <w:r w:rsidRPr="004B445D">
        <w:rPr>
          <w:color w:val="000000"/>
          <w:sz w:val="28"/>
          <w:szCs w:val="28"/>
        </w:rPr>
        <w:t>- коммерческим перевозчикам с 01.01.2020 по 31.12.2026;</w:t>
      </w:r>
    </w:p>
    <w:p w:rsidR="004B445D" w:rsidRPr="004B445D" w:rsidRDefault="004B445D" w:rsidP="004B445D">
      <w:pPr>
        <w:spacing w:line="276" w:lineRule="auto"/>
        <w:rPr>
          <w:color w:val="000000"/>
          <w:sz w:val="28"/>
          <w:szCs w:val="28"/>
        </w:rPr>
      </w:pPr>
      <w:r w:rsidRPr="004B445D">
        <w:rPr>
          <w:color w:val="000000"/>
          <w:sz w:val="28"/>
          <w:szCs w:val="28"/>
        </w:rPr>
        <w:t>- МП «ТПАТП № 3» (маршруты в направлении промплощадок АО «АВТОВАЗ») с 01.01.2020 по 31.12.2024.</w:t>
      </w:r>
    </w:p>
    <w:p w:rsidR="004B445D" w:rsidRPr="004B445D" w:rsidRDefault="004B445D" w:rsidP="004B445D">
      <w:pPr>
        <w:widowControl w:val="0"/>
        <w:spacing w:line="276" w:lineRule="auto"/>
        <w:rPr>
          <w:sz w:val="28"/>
          <w:szCs w:val="28"/>
        </w:rPr>
      </w:pPr>
      <w:r w:rsidRPr="004B445D">
        <w:rPr>
          <w:sz w:val="28"/>
          <w:szCs w:val="28"/>
        </w:rPr>
        <w:t>На 1 июля 2022 года на балансе муниципальных пассажирских предприятий находятся 275 автобусов и 73 троллейбуса, из них полностью начислена амортизация на 225 автобусов и 33 троллейбуса.</w:t>
      </w:r>
    </w:p>
    <w:p w:rsidR="004B445D" w:rsidRPr="004B445D" w:rsidRDefault="004B445D" w:rsidP="004B445D">
      <w:pPr>
        <w:widowControl w:val="0"/>
        <w:spacing w:line="276" w:lineRule="auto"/>
        <w:rPr>
          <w:sz w:val="28"/>
          <w:szCs w:val="28"/>
        </w:rPr>
      </w:pPr>
      <w:r w:rsidRPr="004B445D">
        <w:rPr>
          <w:sz w:val="28"/>
          <w:szCs w:val="28"/>
        </w:rPr>
        <w:t>По показателю «Перевезено пассажиров транспортом общего пользования» представлены данные по полному кругу транспортных предприятий.</w:t>
      </w:r>
    </w:p>
    <w:p w:rsidR="004B445D" w:rsidRPr="004B445D" w:rsidRDefault="004B445D" w:rsidP="004B445D">
      <w:pPr>
        <w:widowControl w:val="0"/>
        <w:spacing w:line="276" w:lineRule="auto"/>
        <w:rPr>
          <w:sz w:val="28"/>
          <w:szCs w:val="28"/>
        </w:rPr>
      </w:pPr>
      <w:r w:rsidRPr="004B445D">
        <w:rPr>
          <w:sz w:val="28"/>
          <w:szCs w:val="28"/>
        </w:rPr>
        <w:t xml:space="preserve"> В </w:t>
      </w:r>
      <w:r w:rsidR="003146DE">
        <w:rPr>
          <w:rFonts w:eastAsiaTheme="minorEastAsia"/>
          <w:sz w:val="28"/>
          <w:szCs w:val="28"/>
          <w:lang w:val="en-US" w:eastAsia="ru-RU"/>
        </w:rPr>
        <w:t>I</w:t>
      </w:r>
      <w:r w:rsidRPr="004B445D">
        <w:rPr>
          <w:sz w:val="28"/>
          <w:szCs w:val="28"/>
        </w:rPr>
        <w:t xml:space="preserve"> полугодии 2022 года объем пассажирских перевозок на коммерческой основе предприятиями транспорта общего пользования составил 32,8 млн. человек (на 14% ниже </w:t>
      </w:r>
      <w:r w:rsidR="003146DE">
        <w:rPr>
          <w:rFonts w:eastAsiaTheme="minorEastAsia"/>
          <w:sz w:val="28"/>
          <w:szCs w:val="28"/>
          <w:lang w:val="en-US" w:eastAsia="ru-RU"/>
        </w:rPr>
        <w:t>I</w:t>
      </w:r>
      <w:r w:rsidR="003146DE" w:rsidRPr="004B445D">
        <w:rPr>
          <w:sz w:val="28"/>
          <w:szCs w:val="28"/>
        </w:rPr>
        <w:t xml:space="preserve"> </w:t>
      </w:r>
      <w:r w:rsidRPr="004B445D">
        <w:rPr>
          <w:sz w:val="28"/>
          <w:szCs w:val="28"/>
        </w:rPr>
        <w:t xml:space="preserve">полугодия 2021 года), в том числе: автобусами – 8,3 млн. человек (на 6,9% ниже аналогичного периода 2021 года), троллейбусами – 2,4 млн. человек (на 0,2% ниже </w:t>
      </w:r>
      <w:r w:rsidR="003146DE">
        <w:rPr>
          <w:rFonts w:eastAsiaTheme="minorEastAsia"/>
          <w:sz w:val="28"/>
          <w:szCs w:val="28"/>
          <w:lang w:val="en-US" w:eastAsia="ru-RU"/>
        </w:rPr>
        <w:t>I</w:t>
      </w:r>
      <w:r w:rsidRPr="004B445D">
        <w:rPr>
          <w:sz w:val="28"/>
          <w:szCs w:val="28"/>
        </w:rPr>
        <w:t> полугодия 2021 года), маршрутными такси – 22,2 млн. человек (на 17,5% ниже января-июня 2021 года).</w:t>
      </w:r>
    </w:p>
    <w:p w:rsidR="004B445D" w:rsidRPr="004B445D" w:rsidRDefault="004B445D" w:rsidP="004B445D">
      <w:pPr>
        <w:widowControl w:val="0"/>
        <w:suppressAutoHyphens w:val="0"/>
        <w:autoSpaceDE w:val="0"/>
        <w:autoSpaceDN w:val="0"/>
        <w:adjustRightInd w:val="0"/>
        <w:spacing w:line="276" w:lineRule="auto"/>
        <w:rPr>
          <w:rFonts w:eastAsiaTheme="minorEastAsia"/>
          <w:sz w:val="28"/>
          <w:szCs w:val="28"/>
          <w:lang w:eastAsia="ru-RU"/>
        </w:rPr>
      </w:pPr>
      <w:r w:rsidRPr="004B445D">
        <w:rPr>
          <w:rFonts w:eastAsiaTheme="minorEastAsia"/>
          <w:sz w:val="28"/>
          <w:szCs w:val="28"/>
          <w:lang w:eastAsia="ru-RU"/>
        </w:rPr>
        <w:t>Пассажирооборот транспорта общего пользования в отчетном периоде снизился на 14% к январю – июню 2021 году до 400,4 млн. пасс. км.</w:t>
      </w:r>
    </w:p>
    <w:p w:rsidR="004B445D" w:rsidRPr="004B445D" w:rsidRDefault="004B445D" w:rsidP="004B445D">
      <w:pPr>
        <w:widowControl w:val="0"/>
        <w:spacing w:line="276" w:lineRule="auto"/>
        <w:rPr>
          <w:sz w:val="28"/>
          <w:szCs w:val="28"/>
        </w:rPr>
      </w:pPr>
      <w:r w:rsidRPr="004B445D">
        <w:rPr>
          <w:sz w:val="28"/>
          <w:szCs w:val="28"/>
        </w:rPr>
        <w:t>Система организации городского пассажирского транспорта сформирована по следующим принципам:</w:t>
      </w:r>
    </w:p>
    <w:p w:rsidR="004B445D" w:rsidRPr="004B445D" w:rsidRDefault="004B445D" w:rsidP="004B445D">
      <w:pPr>
        <w:widowControl w:val="0"/>
        <w:spacing w:line="276" w:lineRule="auto"/>
        <w:rPr>
          <w:sz w:val="28"/>
          <w:szCs w:val="28"/>
        </w:rPr>
      </w:pPr>
      <w:r w:rsidRPr="004B445D">
        <w:rPr>
          <w:sz w:val="28"/>
          <w:szCs w:val="28"/>
        </w:rPr>
        <w:t>- исключение дублирования маршрутов;</w:t>
      </w:r>
    </w:p>
    <w:p w:rsidR="004B445D" w:rsidRPr="004B445D" w:rsidRDefault="004B445D" w:rsidP="004B445D">
      <w:pPr>
        <w:widowControl w:val="0"/>
        <w:spacing w:line="276" w:lineRule="auto"/>
        <w:rPr>
          <w:sz w:val="28"/>
          <w:szCs w:val="28"/>
        </w:rPr>
      </w:pPr>
      <w:r w:rsidRPr="004B445D">
        <w:rPr>
          <w:sz w:val="28"/>
          <w:szCs w:val="28"/>
        </w:rPr>
        <w:t>- создание равных условий и возможностей для осуществления регулярных перевозок по маршрутам организациям различных организационно-правовых форм и форм собственности (муниципальные предприятия, коммерческие организации).</w:t>
      </w:r>
    </w:p>
    <w:p w:rsidR="004B445D" w:rsidRPr="004B445D" w:rsidRDefault="004B445D" w:rsidP="004B445D">
      <w:pPr>
        <w:widowControl w:val="0"/>
        <w:suppressAutoHyphens w:val="0"/>
        <w:autoSpaceDE w:val="0"/>
        <w:autoSpaceDN w:val="0"/>
        <w:adjustRightInd w:val="0"/>
        <w:spacing w:line="276" w:lineRule="auto"/>
        <w:rPr>
          <w:rFonts w:eastAsiaTheme="minorEastAsia"/>
          <w:sz w:val="28"/>
          <w:szCs w:val="28"/>
          <w:shd w:val="clear" w:color="auto" w:fill="FFFF00"/>
          <w:lang w:eastAsia="ru-RU"/>
        </w:rPr>
      </w:pPr>
      <w:r w:rsidRPr="004B445D">
        <w:rPr>
          <w:rFonts w:eastAsiaTheme="minorEastAsia"/>
          <w:sz w:val="28"/>
          <w:szCs w:val="28"/>
          <w:lang w:eastAsia="ru-RU"/>
        </w:rPr>
        <w:t>В текущем периоде продолжена работа по обеспечению более комфортных условий перевозок пассажиров, в том числе работа по обновлению подвижного состава муниципальных предприятий пассажирского транспорта: в целях</w:t>
      </w:r>
      <w:r w:rsidRPr="004B445D">
        <w:rPr>
          <w:rFonts w:eastAsiaTheme="minorEastAsia"/>
          <w:color w:val="000000"/>
          <w:sz w:val="28"/>
          <w:szCs w:val="28"/>
          <w:lang w:eastAsia="ru-RU"/>
        </w:rPr>
        <w:t xml:space="preserve"> реализации мероприятий по обновлению подвижного состава наземного общественного пассажирского транспорта, предусмотренного национальным проектом «Безопасные и качественные автомобильные дороги», в министерство транспорта и автомобильных дорог Самарской области направлена информация о потребности городского округа в приобретении 109 </w:t>
      </w:r>
      <w:r w:rsidRPr="004B445D">
        <w:rPr>
          <w:rFonts w:eastAsiaTheme="minorEastAsia"/>
          <w:sz w:val="28"/>
          <w:szCs w:val="28"/>
          <w:lang w:eastAsia="ru-RU"/>
        </w:rPr>
        <w:t>автобусов большой вместимости, работающих на газомоторном топливе.</w:t>
      </w:r>
    </w:p>
    <w:p w:rsidR="004B445D" w:rsidRPr="004B445D" w:rsidRDefault="004B445D" w:rsidP="004B445D">
      <w:pPr>
        <w:pStyle w:val="aff0"/>
        <w:spacing w:line="276" w:lineRule="auto"/>
        <w:ind w:firstLine="0"/>
        <w:jc w:val="center"/>
        <w:rPr>
          <w:szCs w:val="28"/>
        </w:rPr>
      </w:pPr>
    </w:p>
    <w:p w:rsidR="004B445D" w:rsidRPr="004B445D" w:rsidRDefault="004B445D" w:rsidP="004B445D">
      <w:pPr>
        <w:pStyle w:val="aff0"/>
        <w:spacing w:line="276" w:lineRule="auto"/>
        <w:ind w:firstLine="0"/>
        <w:jc w:val="center"/>
        <w:rPr>
          <w:szCs w:val="28"/>
        </w:rPr>
      </w:pPr>
      <w:r w:rsidRPr="004B445D">
        <w:rPr>
          <w:szCs w:val="28"/>
        </w:rPr>
        <w:t xml:space="preserve">Ожидаемое выполнение прогнозных показателей </w:t>
      </w:r>
    </w:p>
    <w:p w:rsidR="004B445D" w:rsidRDefault="004B445D" w:rsidP="004B445D">
      <w:pPr>
        <w:pStyle w:val="aff0"/>
        <w:spacing w:line="276" w:lineRule="auto"/>
        <w:ind w:firstLine="0"/>
        <w:jc w:val="center"/>
        <w:rPr>
          <w:szCs w:val="28"/>
        </w:rPr>
      </w:pPr>
      <w:r w:rsidRPr="004B445D">
        <w:rPr>
          <w:szCs w:val="28"/>
        </w:rPr>
        <w:t>по разделу «Транспорт» на 2022 год</w:t>
      </w:r>
    </w:p>
    <w:p w:rsidR="00461D7E" w:rsidRPr="004B445D" w:rsidRDefault="00461D7E" w:rsidP="004B445D">
      <w:pPr>
        <w:pStyle w:val="aff0"/>
        <w:spacing w:line="276" w:lineRule="auto"/>
        <w:ind w:firstLine="0"/>
        <w:jc w:val="center"/>
        <w:rPr>
          <w:szCs w:val="28"/>
        </w:rPr>
      </w:pPr>
    </w:p>
    <w:tbl>
      <w:tblPr>
        <w:tblW w:w="9325" w:type="dxa"/>
        <w:tblInd w:w="108" w:type="dxa"/>
        <w:tblLayout w:type="fixed"/>
        <w:tblLook w:val="0000" w:firstRow="0" w:lastRow="0" w:firstColumn="0" w:lastColumn="0" w:noHBand="0" w:noVBand="0"/>
      </w:tblPr>
      <w:tblGrid>
        <w:gridCol w:w="3039"/>
        <w:gridCol w:w="1599"/>
        <w:gridCol w:w="1600"/>
        <w:gridCol w:w="1600"/>
        <w:gridCol w:w="1487"/>
      </w:tblGrid>
      <w:tr w:rsidR="004B445D" w:rsidRPr="004B445D" w:rsidTr="00BC36B0">
        <w:trPr>
          <w:trHeight w:val="331"/>
        </w:trPr>
        <w:tc>
          <w:tcPr>
            <w:tcW w:w="3039" w:type="dxa"/>
            <w:vMerge w:val="restart"/>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Показатели</w:t>
            </w:r>
          </w:p>
        </w:tc>
        <w:tc>
          <w:tcPr>
            <w:tcW w:w="1599" w:type="dxa"/>
            <w:vMerge w:val="restart"/>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Единица измерения</w:t>
            </w:r>
          </w:p>
        </w:tc>
        <w:tc>
          <w:tcPr>
            <w:tcW w:w="3200" w:type="dxa"/>
            <w:gridSpan w:val="2"/>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Прогноз на 2022 год</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2022 год (оценка)</w:t>
            </w:r>
          </w:p>
        </w:tc>
      </w:tr>
      <w:tr w:rsidR="004B445D" w:rsidRPr="004B445D" w:rsidTr="00BC36B0">
        <w:trPr>
          <w:trHeight w:val="249"/>
        </w:trPr>
        <w:tc>
          <w:tcPr>
            <w:tcW w:w="3039" w:type="dxa"/>
            <w:vMerge/>
            <w:tcBorders>
              <w:top w:val="single" w:sz="4" w:space="0" w:color="000000"/>
              <w:left w:val="single" w:sz="4" w:space="0" w:color="000000"/>
              <w:bottom w:val="single" w:sz="4" w:space="0" w:color="000000"/>
            </w:tcBorders>
          </w:tcPr>
          <w:p w:rsidR="004B445D" w:rsidRPr="004B445D" w:rsidRDefault="004B445D" w:rsidP="00BC36B0">
            <w:pPr>
              <w:pStyle w:val="aff0"/>
              <w:spacing w:line="300" w:lineRule="auto"/>
              <w:rPr>
                <w:szCs w:val="28"/>
              </w:rPr>
            </w:pPr>
          </w:p>
        </w:tc>
        <w:tc>
          <w:tcPr>
            <w:tcW w:w="1599" w:type="dxa"/>
            <w:vMerge/>
            <w:tcBorders>
              <w:top w:val="single" w:sz="4" w:space="0" w:color="000000"/>
              <w:left w:val="single" w:sz="4" w:space="0" w:color="000000"/>
              <w:bottom w:val="single" w:sz="4" w:space="0" w:color="000000"/>
            </w:tcBorders>
          </w:tcPr>
          <w:p w:rsidR="004B445D" w:rsidRPr="004B445D" w:rsidRDefault="004B445D" w:rsidP="00BC36B0">
            <w:pPr>
              <w:pStyle w:val="aff0"/>
              <w:spacing w:line="300" w:lineRule="auto"/>
              <w:rPr>
                <w:szCs w:val="28"/>
              </w:rPr>
            </w:pPr>
          </w:p>
        </w:tc>
        <w:tc>
          <w:tcPr>
            <w:tcW w:w="1600" w:type="dxa"/>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300" w:lineRule="auto"/>
              <w:ind w:firstLine="0"/>
              <w:jc w:val="center"/>
              <w:rPr>
                <w:szCs w:val="28"/>
              </w:rPr>
            </w:pPr>
            <w:r w:rsidRPr="004B445D">
              <w:rPr>
                <w:szCs w:val="28"/>
              </w:rPr>
              <w:t>1 вариант</w:t>
            </w:r>
          </w:p>
        </w:tc>
        <w:tc>
          <w:tcPr>
            <w:tcW w:w="1600" w:type="dxa"/>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300" w:lineRule="auto"/>
              <w:ind w:firstLine="0"/>
              <w:jc w:val="center"/>
              <w:rPr>
                <w:szCs w:val="28"/>
              </w:rPr>
            </w:pPr>
            <w:r w:rsidRPr="004B445D">
              <w:rPr>
                <w:szCs w:val="28"/>
              </w:rPr>
              <w:t>2 вариант</w:t>
            </w:r>
          </w:p>
        </w:tc>
        <w:tc>
          <w:tcPr>
            <w:tcW w:w="1487" w:type="dxa"/>
            <w:vMerge/>
            <w:tcBorders>
              <w:top w:val="single" w:sz="4" w:space="0" w:color="000000"/>
              <w:left w:val="single" w:sz="4" w:space="0" w:color="000000"/>
              <w:bottom w:val="single" w:sz="4" w:space="0" w:color="000000"/>
              <w:right w:val="single" w:sz="4" w:space="0" w:color="000000"/>
            </w:tcBorders>
          </w:tcPr>
          <w:p w:rsidR="004B445D" w:rsidRPr="004B445D" w:rsidRDefault="004B445D" w:rsidP="00BC36B0">
            <w:pPr>
              <w:pStyle w:val="aff0"/>
              <w:spacing w:line="300" w:lineRule="auto"/>
              <w:rPr>
                <w:szCs w:val="28"/>
              </w:rPr>
            </w:pPr>
          </w:p>
        </w:tc>
      </w:tr>
      <w:tr w:rsidR="004B445D" w:rsidRPr="004B445D" w:rsidTr="00BC36B0">
        <w:trPr>
          <w:trHeight w:val="765"/>
        </w:trPr>
        <w:tc>
          <w:tcPr>
            <w:tcW w:w="3039" w:type="dxa"/>
            <w:tcBorders>
              <w:top w:val="single" w:sz="4" w:space="0" w:color="000000"/>
              <w:left w:val="single" w:sz="4" w:space="0" w:color="000000"/>
              <w:bottom w:val="single" w:sz="4" w:space="0" w:color="000000"/>
            </w:tcBorders>
          </w:tcPr>
          <w:p w:rsidR="004B445D" w:rsidRPr="004B445D" w:rsidRDefault="004B445D" w:rsidP="00BC36B0">
            <w:pPr>
              <w:pStyle w:val="aff0"/>
              <w:spacing w:line="240" w:lineRule="auto"/>
              <w:ind w:firstLine="0"/>
              <w:rPr>
                <w:szCs w:val="28"/>
              </w:rPr>
            </w:pPr>
            <w:r w:rsidRPr="004B445D">
              <w:rPr>
                <w:szCs w:val="28"/>
              </w:rPr>
              <w:t>Грузооборот транспорта (без трубопроводного)</w:t>
            </w:r>
          </w:p>
        </w:tc>
        <w:tc>
          <w:tcPr>
            <w:tcW w:w="1599" w:type="dxa"/>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млн. т. км</w:t>
            </w:r>
          </w:p>
        </w:tc>
        <w:tc>
          <w:tcPr>
            <w:tcW w:w="1600" w:type="dxa"/>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337,2</w:t>
            </w:r>
          </w:p>
        </w:tc>
        <w:tc>
          <w:tcPr>
            <w:tcW w:w="1600" w:type="dxa"/>
            <w:tcBorders>
              <w:top w:val="single" w:sz="4" w:space="0" w:color="000000"/>
              <w:left w:val="single" w:sz="4" w:space="0" w:color="000000"/>
              <w:bottom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350,7</w:t>
            </w:r>
          </w:p>
        </w:tc>
        <w:tc>
          <w:tcPr>
            <w:tcW w:w="1487" w:type="dxa"/>
            <w:tcBorders>
              <w:top w:val="single" w:sz="4" w:space="0" w:color="000000"/>
              <w:left w:val="single" w:sz="4" w:space="0" w:color="000000"/>
              <w:bottom w:val="single" w:sz="4" w:space="0" w:color="000000"/>
              <w:right w:val="single" w:sz="4" w:space="0" w:color="000000"/>
            </w:tcBorders>
            <w:vAlign w:val="center"/>
          </w:tcPr>
          <w:p w:rsidR="004B445D" w:rsidRPr="004B445D" w:rsidRDefault="004B445D" w:rsidP="00BC36B0">
            <w:pPr>
              <w:pStyle w:val="aff0"/>
              <w:spacing w:line="240" w:lineRule="auto"/>
              <w:ind w:firstLine="0"/>
              <w:jc w:val="center"/>
              <w:rPr>
                <w:szCs w:val="28"/>
              </w:rPr>
            </w:pPr>
            <w:r w:rsidRPr="004B445D">
              <w:rPr>
                <w:szCs w:val="28"/>
              </w:rPr>
              <w:t>210,6</w:t>
            </w:r>
          </w:p>
        </w:tc>
      </w:tr>
      <w:tr w:rsidR="004B445D" w:rsidRPr="008253D3" w:rsidTr="00BC36B0">
        <w:trPr>
          <w:trHeight w:val="776"/>
        </w:trPr>
        <w:tc>
          <w:tcPr>
            <w:tcW w:w="3039" w:type="dxa"/>
            <w:tcBorders>
              <w:top w:val="single" w:sz="4" w:space="0" w:color="000000"/>
              <w:left w:val="single" w:sz="4" w:space="0" w:color="000000"/>
              <w:bottom w:val="single" w:sz="4" w:space="0" w:color="000000"/>
            </w:tcBorders>
          </w:tcPr>
          <w:p w:rsidR="004B445D" w:rsidRPr="004B445D" w:rsidRDefault="004B445D" w:rsidP="00BC36B0">
            <w:pPr>
              <w:pStyle w:val="aff0"/>
              <w:spacing w:line="240" w:lineRule="auto"/>
              <w:ind w:firstLine="0"/>
              <w:rPr>
                <w:szCs w:val="28"/>
              </w:rPr>
            </w:pPr>
            <w:r w:rsidRPr="004B445D">
              <w:rPr>
                <w:szCs w:val="28"/>
              </w:rPr>
              <w:t>Пассажирооборот транспорта общего пользования</w:t>
            </w:r>
          </w:p>
        </w:tc>
        <w:tc>
          <w:tcPr>
            <w:tcW w:w="1599" w:type="dxa"/>
            <w:tcBorders>
              <w:top w:val="single" w:sz="4" w:space="0" w:color="000000"/>
              <w:left w:val="single" w:sz="4" w:space="0" w:color="000000"/>
              <w:bottom w:val="single" w:sz="4" w:space="0" w:color="auto"/>
            </w:tcBorders>
            <w:vAlign w:val="center"/>
          </w:tcPr>
          <w:p w:rsidR="004B445D" w:rsidRPr="004B445D" w:rsidRDefault="004B445D" w:rsidP="00BC36B0">
            <w:pPr>
              <w:pStyle w:val="aff0"/>
              <w:spacing w:line="240" w:lineRule="auto"/>
              <w:ind w:firstLine="0"/>
              <w:jc w:val="center"/>
              <w:rPr>
                <w:szCs w:val="28"/>
              </w:rPr>
            </w:pPr>
            <w:r w:rsidRPr="004B445D">
              <w:rPr>
                <w:szCs w:val="28"/>
              </w:rPr>
              <w:t>млн. пасс. км</w:t>
            </w:r>
          </w:p>
        </w:tc>
        <w:tc>
          <w:tcPr>
            <w:tcW w:w="1600" w:type="dxa"/>
            <w:tcBorders>
              <w:top w:val="single" w:sz="4" w:space="0" w:color="000000"/>
              <w:left w:val="single" w:sz="4" w:space="0" w:color="000000"/>
              <w:bottom w:val="single" w:sz="4" w:space="0" w:color="auto"/>
            </w:tcBorders>
            <w:vAlign w:val="center"/>
          </w:tcPr>
          <w:p w:rsidR="004B445D" w:rsidRPr="004B445D" w:rsidRDefault="004B445D" w:rsidP="00BC36B0">
            <w:pPr>
              <w:pStyle w:val="aff0"/>
              <w:spacing w:line="240" w:lineRule="auto"/>
              <w:ind w:firstLine="0"/>
              <w:jc w:val="center"/>
              <w:rPr>
                <w:szCs w:val="28"/>
              </w:rPr>
            </w:pPr>
            <w:r w:rsidRPr="004B445D">
              <w:rPr>
                <w:szCs w:val="28"/>
              </w:rPr>
              <w:t>980,1</w:t>
            </w:r>
          </w:p>
        </w:tc>
        <w:tc>
          <w:tcPr>
            <w:tcW w:w="1600" w:type="dxa"/>
            <w:tcBorders>
              <w:top w:val="single" w:sz="4" w:space="0" w:color="000000"/>
              <w:left w:val="single" w:sz="4" w:space="0" w:color="000000"/>
              <w:bottom w:val="single" w:sz="4" w:space="0" w:color="auto"/>
            </w:tcBorders>
            <w:vAlign w:val="center"/>
          </w:tcPr>
          <w:p w:rsidR="004B445D" w:rsidRPr="004B445D" w:rsidRDefault="004B445D" w:rsidP="00BC36B0">
            <w:pPr>
              <w:pStyle w:val="aff0"/>
              <w:spacing w:line="240" w:lineRule="auto"/>
              <w:ind w:firstLine="0"/>
              <w:jc w:val="center"/>
              <w:rPr>
                <w:szCs w:val="28"/>
              </w:rPr>
            </w:pPr>
            <w:r w:rsidRPr="004B445D">
              <w:rPr>
                <w:szCs w:val="28"/>
              </w:rPr>
              <w:t>986,9</w:t>
            </w:r>
          </w:p>
        </w:tc>
        <w:tc>
          <w:tcPr>
            <w:tcW w:w="1487" w:type="dxa"/>
            <w:tcBorders>
              <w:top w:val="single" w:sz="4" w:space="0" w:color="000000"/>
              <w:left w:val="single" w:sz="4" w:space="0" w:color="000000"/>
              <w:bottom w:val="single" w:sz="4" w:space="0" w:color="auto"/>
              <w:right w:val="single" w:sz="4" w:space="0" w:color="000000"/>
            </w:tcBorders>
            <w:vAlign w:val="center"/>
          </w:tcPr>
          <w:p w:rsidR="004B445D" w:rsidRPr="00EE19BE" w:rsidRDefault="004B445D" w:rsidP="00BC36B0">
            <w:pPr>
              <w:pStyle w:val="aff0"/>
              <w:spacing w:line="240" w:lineRule="auto"/>
              <w:ind w:firstLine="0"/>
              <w:jc w:val="center"/>
              <w:rPr>
                <w:szCs w:val="28"/>
              </w:rPr>
            </w:pPr>
            <w:r w:rsidRPr="004B445D">
              <w:rPr>
                <w:szCs w:val="28"/>
              </w:rPr>
              <w:t>819,6</w:t>
            </w:r>
          </w:p>
        </w:tc>
      </w:tr>
    </w:tbl>
    <w:p w:rsidR="004B445D" w:rsidRPr="008253D3" w:rsidRDefault="004B445D" w:rsidP="004B445D">
      <w:pPr>
        <w:widowControl w:val="0"/>
        <w:spacing w:line="300" w:lineRule="auto"/>
        <w:rPr>
          <w:rFonts w:eastAsia="Calibri"/>
          <w:sz w:val="28"/>
          <w:szCs w:val="28"/>
          <w:highlight w:val="yellow"/>
        </w:rPr>
      </w:pPr>
    </w:p>
    <w:p w:rsidR="004B445D" w:rsidRPr="004B445D" w:rsidRDefault="004B445D" w:rsidP="004B445D">
      <w:pPr>
        <w:pStyle w:val="aff0"/>
        <w:spacing w:line="276" w:lineRule="auto"/>
        <w:rPr>
          <w:szCs w:val="28"/>
        </w:rPr>
      </w:pPr>
      <w:r w:rsidRPr="004B445D">
        <w:rPr>
          <w:szCs w:val="28"/>
        </w:rPr>
        <w:t xml:space="preserve">С учетом сложившегося значения показателя за </w:t>
      </w:r>
      <w:r w:rsidRPr="004B445D">
        <w:rPr>
          <w:szCs w:val="28"/>
          <w:lang w:val="en-US"/>
        </w:rPr>
        <w:t>I</w:t>
      </w:r>
      <w:r w:rsidRPr="004B445D">
        <w:rPr>
          <w:szCs w:val="28"/>
        </w:rPr>
        <w:t xml:space="preserve"> полугодие 2022 года, исходя из текущей </w:t>
      </w:r>
      <w:r w:rsidR="003D1816">
        <w:rPr>
          <w:szCs w:val="28"/>
        </w:rPr>
        <w:t xml:space="preserve">экономической ситуации и </w:t>
      </w:r>
      <w:r w:rsidRPr="004B445D">
        <w:rPr>
          <w:szCs w:val="28"/>
        </w:rPr>
        <w:t>ситуации на рынке транспортных услуг, оценочное значение показателя грузооборота транспорта на 2022 год составит 210,6 млн. т. км.</w:t>
      </w:r>
    </w:p>
    <w:p w:rsidR="004B445D" w:rsidRPr="004B445D" w:rsidRDefault="004B445D" w:rsidP="004B445D">
      <w:pPr>
        <w:widowControl w:val="0"/>
        <w:spacing w:line="276" w:lineRule="auto"/>
        <w:rPr>
          <w:sz w:val="28"/>
          <w:szCs w:val="28"/>
          <w:lang w:eastAsia="en-US"/>
        </w:rPr>
      </w:pPr>
      <w:r w:rsidRPr="004B445D">
        <w:rPr>
          <w:rFonts w:eastAsiaTheme="minorEastAsia"/>
          <w:sz w:val="28"/>
          <w:szCs w:val="28"/>
          <w:lang w:eastAsia="ru-RU"/>
        </w:rPr>
        <w:t xml:space="preserve">По оценке, в 2022 году пассажирооборот транспорта общего пользования снизится на 11,9% к уровню 2021 года (930,8 млн. пасс. км) и составит 819,6 млн. пасс. км, что ниже значений, прогнозируемых ранее. </w:t>
      </w:r>
      <w:r w:rsidRPr="004B445D">
        <w:rPr>
          <w:sz w:val="28"/>
          <w:szCs w:val="28"/>
        </w:rPr>
        <w:t>Несмотря на отмену</w:t>
      </w:r>
      <w:r w:rsidRPr="004B445D">
        <w:rPr>
          <w:sz w:val="28"/>
          <w:szCs w:val="28"/>
          <w:lang w:eastAsia="en-US"/>
        </w:rPr>
        <w:t xml:space="preserve"> ограничительных мер в условиях угрозы распространения новой коронавирусной инфекции (</w:t>
      </w:r>
      <w:r w:rsidRPr="004B445D">
        <w:rPr>
          <w:sz w:val="28"/>
          <w:szCs w:val="28"/>
          <w:lang w:val="en-US" w:eastAsia="en-US"/>
        </w:rPr>
        <w:t>COVID</w:t>
      </w:r>
      <w:r w:rsidRPr="004B445D">
        <w:rPr>
          <w:sz w:val="28"/>
          <w:szCs w:val="28"/>
          <w:lang w:eastAsia="en-US"/>
        </w:rPr>
        <w:t>-19) наблюдаемое снижение показателя в 2022 году связано с увеличением стоимости проезда, сокращением количества маршрутных такси, а также с появлением альтернативных видов транспорта.</w:t>
      </w:r>
    </w:p>
    <w:p w:rsidR="004B445D" w:rsidRDefault="004B445D" w:rsidP="004B445D">
      <w:pPr>
        <w:spacing w:line="276" w:lineRule="auto"/>
        <w:ind w:firstLine="708"/>
        <w:contextualSpacing/>
        <w:rPr>
          <w:color w:val="000000"/>
          <w:sz w:val="28"/>
          <w:szCs w:val="28"/>
          <w:lang w:eastAsia="ru-RU"/>
        </w:rPr>
      </w:pPr>
      <w:r w:rsidRPr="004B445D">
        <w:rPr>
          <w:color w:val="000000"/>
          <w:sz w:val="28"/>
          <w:szCs w:val="28"/>
          <w:lang w:eastAsia="ru-RU"/>
        </w:rPr>
        <w:t>Основой дорожной сети городского округа Тольятти является сеть автомобильных дорог, включающая магистральные автодороги, дороги промышленно-коммунальной зоны, внутриквартальные проезды и бульвары, дороги частного сектора.</w:t>
      </w:r>
      <w:r w:rsidRPr="0047186B">
        <w:rPr>
          <w:color w:val="000000"/>
          <w:sz w:val="28"/>
          <w:szCs w:val="28"/>
          <w:lang w:eastAsia="ru-RU"/>
        </w:rPr>
        <w:t xml:space="preserve"> </w:t>
      </w:r>
    </w:p>
    <w:p w:rsidR="004B445D" w:rsidRPr="004B445D" w:rsidRDefault="004B445D" w:rsidP="004B445D">
      <w:pPr>
        <w:spacing w:line="276" w:lineRule="auto"/>
        <w:ind w:firstLine="708"/>
        <w:contextualSpacing/>
        <w:rPr>
          <w:color w:val="000000"/>
          <w:sz w:val="28"/>
          <w:szCs w:val="28"/>
        </w:rPr>
      </w:pPr>
      <w:r w:rsidRPr="004B445D">
        <w:rPr>
          <w:color w:val="000000"/>
          <w:sz w:val="28"/>
          <w:szCs w:val="28"/>
        </w:rPr>
        <w:t>Общая протяженность дорог на 01.01.2022 составляет 889 км, в том числе с твердым покрытием – 888 км.</w:t>
      </w:r>
    </w:p>
    <w:p w:rsidR="004B445D" w:rsidRPr="007135D6" w:rsidRDefault="004B445D" w:rsidP="004B445D">
      <w:pPr>
        <w:widowControl w:val="0"/>
        <w:spacing w:line="276" w:lineRule="auto"/>
        <w:rPr>
          <w:color w:val="000000"/>
          <w:sz w:val="28"/>
          <w:szCs w:val="28"/>
          <w:lang w:eastAsia="ru-RU"/>
        </w:rPr>
      </w:pPr>
      <w:r w:rsidRPr="004B445D">
        <w:rPr>
          <w:color w:val="000000"/>
          <w:sz w:val="28"/>
          <w:szCs w:val="28"/>
          <w:lang w:eastAsia="ru-RU"/>
        </w:rPr>
        <w:t xml:space="preserve">В </w:t>
      </w:r>
      <w:r w:rsidRPr="004B445D">
        <w:rPr>
          <w:color w:val="000000"/>
          <w:sz w:val="28"/>
          <w:szCs w:val="28"/>
          <w:lang w:val="en-US" w:eastAsia="ru-RU"/>
        </w:rPr>
        <w:t>I</w:t>
      </w:r>
      <w:r w:rsidRPr="004B445D">
        <w:rPr>
          <w:color w:val="000000"/>
          <w:sz w:val="28"/>
          <w:szCs w:val="28"/>
          <w:lang w:eastAsia="ru-RU"/>
        </w:rPr>
        <w:t xml:space="preserve"> полугодии 2022 года комплексное содержание объектов дорожного хозяйства обеспечивалось на площади 6296,9 тыс. кв. м</w:t>
      </w:r>
      <w:r w:rsidR="00B4095D">
        <w:rPr>
          <w:color w:val="000000"/>
          <w:sz w:val="28"/>
          <w:szCs w:val="28"/>
          <w:lang w:eastAsia="ru-RU"/>
        </w:rPr>
        <w:t xml:space="preserve"> (101,6% к аналогичному периоду 2021 года)</w:t>
      </w:r>
      <w:r w:rsidRPr="004B445D">
        <w:rPr>
          <w:color w:val="000000"/>
          <w:sz w:val="28"/>
          <w:szCs w:val="28"/>
          <w:lang w:eastAsia="ru-RU"/>
        </w:rPr>
        <w:t>, в том числе магистральных – 5087,1 тыс. кв. м</w:t>
      </w:r>
      <w:r w:rsidR="00B4095D">
        <w:rPr>
          <w:color w:val="000000"/>
          <w:sz w:val="28"/>
          <w:szCs w:val="28"/>
          <w:lang w:eastAsia="ru-RU"/>
        </w:rPr>
        <w:t xml:space="preserve"> (101,5%)</w:t>
      </w:r>
      <w:r w:rsidRPr="004B445D">
        <w:rPr>
          <w:color w:val="000000"/>
          <w:sz w:val="28"/>
          <w:szCs w:val="28"/>
          <w:lang w:eastAsia="ru-RU"/>
        </w:rPr>
        <w:t>, внутриквартальных – 1209,8 тыс. кв. м</w:t>
      </w:r>
      <w:r w:rsidR="00B4095D">
        <w:rPr>
          <w:color w:val="000000"/>
          <w:sz w:val="28"/>
          <w:szCs w:val="28"/>
          <w:lang w:eastAsia="ru-RU"/>
        </w:rPr>
        <w:t xml:space="preserve"> (</w:t>
      </w:r>
      <w:r w:rsidR="008E7A1A">
        <w:rPr>
          <w:color w:val="000000"/>
          <w:sz w:val="28"/>
          <w:szCs w:val="28"/>
          <w:lang w:eastAsia="ru-RU"/>
        </w:rPr>
        <w:t>102%)</w:t>
      </w:r>
      <w:r w:rsidRPr="004B445D">
        <w:rPr>
          <w:color w:val="000000"/>
          <w:sz w:val="28"/>
          <w:szCs w:val="28"/>
          <w:lang w:eastAsia="ru-RU"/>
        </w:rPr>
        <w:t>.</w:t>
      </w:r>
      <w:r w:rsidRPr="007135D6">
        <w:rPr>
          <w:color w:val="000000"/>
          <w:sz w:val="28"/>
          <w:szCs w:val="28"/>
          <w:lang w:eastAsia="ru-RU"/>
        </w:rPr>
        <w:t xml:space="preserve"> </w:t>
      </w:r>
      <w:r w:rsidRPr="00B4095D">
        <w:rPr>
          <w:color w:val="000000"/>
          <w:sz w:val="28"/>
          <w:szCs w:val="28"/>
          <w:lang w:eastAsia="ru-RU"/>
        </w:rPr>
        <w:t>Площадь содержания увеличилась по сравнению с аналогичным периодом 2021 года за счет</w:t>
      </w:r>
      <w:r w:rsidR="00B4095D">
        <w:rPr>
          <w:color w:val="000000"/>
          <w:sz w:val="28"/>
          <w:szCs w:val="28"/>
          <w:lang w:eastAsia="ru-RU"/>
        </w:rPr>
        <w:t xml:space="preserve"> ввода в эксплуатацию вновь построенной дороги и приема в муниципальную собственность бесхозяйных дорог.</w:t>
      </w:r>
      <w:r w:rsidRPr="007135D6">
        <w:rPr>
          <w:color w:val="000000"/>
          <w:sz w:val="28"/>
          <w:szCs w:val="28"/>
          <w:lang w:eastAsia="ru-RU"/>
        </w:rPr>
        <w:t xml:space="preserve"> </w:t>
      </w:r>
    </w:p>
    <w:p w:rsidR="004B445D" w:rsidRPr="004B445D" w:rsidRDefault="004B445D" w:rsidP="004B445D">
      <w:pPr>
        <w:widowControl w:val="0"/>
        <w:suppressAutoHyphens w:val="0"/>
        <w:spacing w:line="276" w:lineRule="auto"/>
        <w:rPr>
          <w:color w:val="000000"/>
          <w:sz w:val="28"/>
          <w:szCs w:val="28"/>
          <w:lang w:eastAsia="ru-RU"/>
        </w:rPr>
      </w:pPr>
      <w:r w:rsidRPr="004B445D">
        <w:rPr>
          <w:color w:val="000000"/>
          <w:sz w:val="28"/>
          <w:szCs w:val="28"/>
          <w:lang w:eastAsia="ru-RU"/>
        </w:rPr>
        <w:t>В границах городского округа Тольятти расположен отрезок дороги общего пользования федерального значения (трасса М-5 «Москва – Самара – Уфа - Челябинск») протяженностью 5,5 км и отрезок дороги общего пользования регионального значения протяженностью 20,2 км.</w:t>
      </w:r>
    </w:p>
    <w:p w:rsidR="004B445D" w:rsidRPr="004B445D" w:rsidRDefault="004B445D" w:rsidP="004B445D">
      <w:pPr>
        <w:widowControl w:val="0"/>
        <w:suppressAutoHyphens w:val="0"/>
        <w:autoSpaceDE w:val="0"/>
        <w:autoSpaceDN w:val="0"/>
        <w:adjustRightInd w:val="0"/>
        <w:spacing w:line="276" w:lineRule="auto"/>
        <w:rPr>
          <w:sz w:val="28"/>
          <w:szCs w:val="28"/>
        </w:rPr>
      </w:pPr>
      <w:r w:rsidRPr="004B445D">
        <w:rPr>
          <w:rFonts w:eastAsiaTheme="minorEastAsia"/>
          <w:sz w:val="28"/>
          <w:szCs w:val="28"/>
          <w:lang w:eastAsia="ru-RU"/>
        </w:rPr>
        <w:t xml:space="preserve">В городском округе Тольятти разработана и утверждена постановлением администрации городского округа Тольятти от 14.10.2020 № 3118-п/1 муниципальная программа «Развитие транспортной системы и дорожного хозяйства городского округа Тольятти на 2021-2025 гг.», которая включает в себя подпрограмму </w:t>
      </w:r>
      <w:r w:rsidRPr="004B445D">
        <w:rPr>
          <w:sz w:val="28"/>
          <w:szCs w:val="28"/>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p>
    <w:p w:rsidR="004B445D" w:rsidRPr="004B445D" w:rsidRDefault="004B445D" w:rsidP="00461D7E">
      <w:pPr>
        <w:spacing w:line="276" w:lineRule="auto"/>
        <w:rPr>
          <w:sz w:val="28"/>
          <w:szCs w:val="28"/>
        </w:rPr>
      </w:pPr>
      <w:r w:rsidRPr="004B445D">
        <w:rPr>
          <w:sz w:val="28"/>
          <w:szCs w:val="28"/>
        </w:rPr>
        <w:t>В 2022 году в рамках национального проекта «Безопасные качественные автомобильные дороги» предусмотрено выполнение капитального ремонта и ремонта автомобильных дорог общего пользования местного значения общей протяженностью 24,7 км.</w:t>
      </w:r>
    </w:p>
    <w:p w:rsidR="004B445D" w:rsidRDefault="004B445D" w:rsidP="00461D7E">
      <w:pPr>
        <w:tabs>
          <w:tab w:val="left" w:pos="709"/>
          <w:tab w:val="left" w:pos="851"/>
          <w:tab w:val="left" w:pos="9637"/>
        </w:tabs>
        <w:spacing w:after="120" w:line="276" w:lineRule="auto"/>
        <w:rPr>
          <w:sz w:val="28"/>
          <w:szCs w:val="28"/>
        </w:rPr>
      </w:pPr>
      <w:r w:rsidRPr="004B445D">
        <w:rPr>
          <w:sz w:val="28"/>
          <w:szCs w:val="28"/>
        </w:rPr>
        <w:t>В 2022 году в рамках Плана мероприятий, связанных с празднованием 50-летия производства первого легкового автомобиля ВАЗ в городском округе Тольятти введена в эксплуатацию магистральная улица общегородского значения регулируемого движения ул. Офицерской протяженностью 0,6 км.</w:t>
      </w:r>
      <w:r>
        <w:rPr>
          <w:sz w:val="28"/>
          <w:szCs w:val="28"/>
        </w:rPr>
        <w:t xml:space="preserve"> </w:t>
      </w:r>
    </w:p>
    <w:p w:rsidR="004B445D" w:rsidRPr="00A460DA" w:rsidRDefault="004B445D" w:rsidP="00461D7E">
      <w:pPr>
        <w:pStyle w:val="3"/>
        <w:spacing w:after="120" w:line="276" w:lineRule="auto"/>
        <w:ind w:left="0" w:firstLine="0"/>
        <w:rPr>
          <w:sz w:val="28"/>
          <w:szCs w:val="28"/>
        </w:rPr>
      </w:pPr>
      <w:r w:rsidRPr="00A460DA">
        <w:rPr>
          <w:sz w:val="28"/>
          <w:szCs w:val="28"/>
        </w:rPr>
        <w:t>Связь</w:t>
      </w:r>
    </w:p>
    <w:p w:rsidR="004B445D" w:rsidRPr="004B445D" w:rsidRDefault="004B445D" w:rsidP="00461D7E">
      <w:pPr>
        <w:widowControl w:val="0"/>
        <w:suppressAutoHyphens w:val="0"/>
        <w:autoSpaceDE w:val="0"/>
        <w:autoSpaceDN w:val="0"/>
        <w:adjustRightInd w:val="0"/>
        <w:spacing w:line="276" w:lineRule="auto"/>
        <w:rPr>
          <w:rFonts w:eastAsiaTheme="minorEastAsia"/>
          <w:sz w:val="28"/>
          <w:szCs w:val="28"/>
          <w:shd w:val="clear" w:color="auto" w:fill="FFFF00"/>
          <w:lang w:eastAsia="ru-RU"/>
        </w:rPr>
      </w:pPr>
      <w:r w:rsidRPr="004B445D">
        <w:rPr>
          <w:rFonts w:eastAsiaTheme="minorEastAsia"/>
          <w:sz w:val="28"/>
          <w:szCs w:val="28"/>
          <w:lang w:eastAsia="ru-RU"/>
        </w:rPr>
        <w:t xml:space="preserve">В 2022 году услуги почтовой и курьерской связи, телевизионного и радиовещания, а также услуги в сфере телекоммуникаций оказывают 15 организаций. По итогам </w:t>
      </w:r>
      <w:r w:rsidRPr="004B445D">
        <w:rPr>
          <w:rFonts w:eastAsiaTheme="minorEastAsia"/>
          <w:sz w:val="28"/>
          <w:szCs w:val="28"/>
          <w:lang w:val="en-US" w:eastAsia="ru-RU"/>
        </w:rPr>
        <w:t>I</w:t>
      </w:r>
      <w:r w:rsidRPr="004B445D">
        <w:rPr>
          <w:rFonts w:eastAsiaTheme="minorEastAsia"/>
          <w:sz w:val="28"/>
          <w:szCs w:val="28"/>
          <w:lang w:eastAsia="ru-RU"/>
        </w:rPr>
        <w:t> полугодия 2022 года объем услуг, оказанных предприятиями связи, составил 1 595,1 млн. руб</w:t>
      </w:r>
      <w:r w:rsidR="00EF2D65">
        <w:rPr>
          <w:rFonts w:eastAsiaTheme="minorEastAsia"/>
          <w:sz w:val="28"/>
          <w:szCs w:val="28"/>
          <w:lang w:eastAsia="ru-RU"/>
        </w:rPr>
        <w:t>.</w:t>
      </w:r>
      <w:r w:rsidRPr="004B445D">
        <w:rPr>
          <w:rFonts w:eastAsiaTheme="minorEastAsia"/>
          <w:sz w:val="28"/>
          <w:szCs w:val="28"/>
          <w:lang w:eastAsia="ru-RU"/>
        </w:rPr>
        <w:t xml:space="preserve"> (91,7% в действующих ценах к уровню аналогичного периода предыдущего года). </w:t>
      </w:r>
    </w:p>
    <w:p w:rsidR="004B445D" w:rsidRPr="004B445D" w:rsidRDefault="004B445D" w:rsidP="00461D7E">
      <w:pPr>
        <w:suppressAutoHyphens w:val="0"/>
        <w:autoSpaceDE w:val="0"/>
        <w:autoSpaceDN w:val="0"/>
        <w:adjustRightInd w:val="0"/>
        <w:spacing w:line="276" w:lineRule="auto"/>
        <w:rPr>
          <w:rFonts w:eastAsiaTheme="minorEastAsia"/>
          <w:sz w:val="28"/>
          <w:szCs w:val="28"/>
          <w:lang w:eastAsia="ru-RU"/>
        </w:rPr>
      </w:pPr>
      <w:r w:rsidRPr="004B445D">
        <w:rPr>
          <w:rFonts w:eastAsiaTheme="minorEastAsia"/>
          <w:sz w:val="28"/>
          <w:szCs w:val="28"/>
          <w:lang w:eastAsia="ru-RU"/>
        </w:rPr>
        <w:t xml:space="preserve">Объем услуг почтовой связи и курьерской деятельности в </w:t>
      </w:r>
      <w:r w:rsidRPr="004B445D">
        <w:rPr>
          <w:rFonts w:eastAsiaTheme="minorEastAsia"/>
          <w:sz w:val="28"/>
          <w:szCs w:val="28"/>
          <w:lang w:val="en-US" w:eastAsia="ru-RU"/>
        </w:rPr>
        <w:t>I</w:t>
      </w:r>
      <w:r w:rsidRPr="004B445D">
        <w:rPr>
          <w:rFonts w:eastAsiaTheme="minorEastAsia"/>
          <w:sz w:val="28"/>
          <w:szCs w:val="28"/>
          <w:lang w:eastAsia="ru-RU"/>
        </w:rPr>
        <w:t xml:space="preserve"> полугодии 2022 года резко снизился на 51,3% к соответствующему периоду 2021 года и составил 188,9 млн. руб. В результате анализа, выявлено, что с марта 2022 года крупнейшее предприятие</w:t>
      </w:r>
      <w:r w:rsidR="00BD222F">
        <w:rPr>
          <w:rFonts w:eastAsiaTheme="minorEastAsia"/>
          <w:sz w:val="28"/>
          <w:szCs w:val="28"/>
          <w:lang w:eastAsia="ru-RU"/>
        </w:rPr>
        <w:t xml:space="preserve"> </w:t>
      </w:r>
      <w:r w:rsidRPr="004B445D">
        <w:rPr>
          <w:rFonts w:eastAsiaTheme="minorEastAsia"/>
          <w:sz w:val="28"/>
          <w:szCs w:val="28"/>
          <w:lang w:eastAsia="ru-RU"/>
        </w:rPr>
        <w:t>связи</w:t>
      </w:r>
      <w:r w:rsidR="00BD222F">
        <w:rPr>
          <w:rFonts w:eastAsiaTheme="minorEastAsia"/>
          <w:sz w:val="28"/>
          <w:szCs w:val="28"/>
          <w:lang w:eastAsia="ru-RU"/>
        </w:rPr>
        <w:t xml:space="preserve"> города</w:t>
      </w:r>
      <w:r w:rsidRPr="004B445D">
        <w:rPr>
          <w:rFonts w:eastAsiaTheme="minorEastAsia"/>
          <w:sz w:val="28"/>
          <w:szCs w:val="28"/>
          <w:lang w:eastAsia="ru-RU"/>
        </w:rPr>
        <w:t xml:space="preserve"> предоставляет статистическую отчетность в целом по Самарской области, без разбивки по </w:t>
      </w:r>
      <w:r w:rsidR="003D1816">
        <w:rPr>
          <w:rFonts w:eastAsiaTheme="minorEastAsia"/>
          <w:sz w:val="28"/>
          <w:szCs w:val="28"/>
          <w:lang w:eastAsia="ru-RU"/>
        </w:rPr>
        <w:t>подразделениям</w:t>
      </w:r>
      <w:r w:rsidRPr="004B445D">
        <w:rPr>
          <w:sz w:val="28"/>
          <w:szCs w:val="28"/>
        </w:rPr>
        <w:t xml:space="preserve">, поэтому провести объективный анализ причин снижения показателя не представляется возможным. </w:t>
      </w:r>
    </w:p>
    <w:p w:rsidR="004B445D" w:rsidRPr="004B445D" w:rsidRDefault="004B445D" w:rsidP="004B445D">
      <w:pPr>
        <w:widowControl w:val="0"/>
        <w:suppressAutoHyphens w:val="0"/>
        <w:autoSpaceDE w:val="0"/>
        <w:autoSpaceDN w:val="0"/>
        <w:adjustRightInd w:val="0"/>
        <w:spacing w:line="276" w:lineRule="auto"/>
        <w:rPr>
          <w:rFonts w:eastAsiaTheme="minorEastAsia"/>
          <w:sz w:val="28"/>
          <w:szCs w:val="28"/>
          <w:lang w:eastAsia="ru-RU"/>
        </w:rPr>
      </w:pPr>
      <w:r w:rsidRPr="004B445D">
        <w:rPr>
          <w:rFonts w:eastAsiaTheme="minorEastAsia"/>
          <w:sz w:val="28"/>
          <w:szCs w:val="28"/>
          <w:lang w:eastAsia="ru-RU"/>
        </w:rPr>
        <w:t>Объем услуг в области телевизионного и радиовещания, а также в сфере телекоммуникаций составил 1 406,5 млн. руб</w:t>
      </w:r>
      <w:r w:rsidR="00EF2D65">
        <w:rPr>
          <w:rFonts w:eastAsiaTheme="minorEastAsia"/>
          <w:sz w:val="28"/>
          <w:szCs w:val="28"/>
          <w:lang w:eastAsia="ru-RU"/>
        </w:rPr>
        <w:t>.</w:t>
      </w:r>
      <w:r w:rsidRPr="004B445D">
        <w:rPr>
          <w:rFonts w:eastAsiaTheme="minorEastAsia"/>
          <w:sz w:val="28"/>
          <w:szCs w:val="28"/>
          <w:lang w:eastAsia="ru-RU"/>
        </w:rPr>
        <w:t xml:space="preserve">, что на 3,8% выше соответствующего периода 2021 года. На территории городского округа Тольятти в данной сфере осуществляют деятельность такие операторы, как ОАО «Лада Медиа», ООО «ЛИК», ПАО «Мегафон», ООО «ИнфоЛада», ПАО «МТС» и другие. </w:t>
      </w:r>
    </w:p>
    <w:p w:rsidR="004B445D" w:rsidRPr="004B445D" w:rsidRDefault="004B445D" w:rsidP="004B445D">
      <w:pPr>
        <w:pStyle w:val="aff0"/>
        <w:spacing w:line="276" w:lineRule="auto"/>
        <w:jc w:val="center"/>
        <w:rPr>
          <w:bCs/>
          <w:szCs w:val="28"/>
        </w:rPr>
      </w:pPr>
    </w:p>
    <w:p w:rsidR="004B445D" w:rsidRPr="004B445D" w:rsidRDefault="004B445D" w:rsidP="004B445D">
      <w:pPr>
        <w:pStyle w:val="aff0"/>
        <w:spacing w:line="276" w:lineRule="auto"/>
        <w:jc w:val="center"/>
        <w:rPr>
          <w:bCs/>
          <w:szCs w:val="28"/>
        </w:rPr>
      </w:pPr>
      <w:r w:rsidRPr="004B445D">
        <w:rPr>
          <w:bCs/>
          <w:szCs w:val="28"/>
        </w:rPr>
        <w:t xml:space="preserve">Ожидаемое выполнение прогнозных показателей по разделу «Связь» </w:t>
      </w:r>
    </w:p>
    <w:p w:rsidR="004B445D" w:rsidRPr="004B445D" w:rsidRDefault="004B445D" w:rsidP="004B445D">
      <w:pPr>
        <w:pStyle w:val="aff0"/>
        <w:spacing w:line="276" w:lineRule="auto"/>
        <w:jc w:val="center"/>
        <w:rPr>
          <w:bCs/>
          <w:szCs w:val="28"/>
        </w:rPr>
      </w:pPr>
      <w:r w:rsidRPr="004B445D">
        <w:rPr>
          <w:bCs/>
          <w:szCs w:val="28"/>
        </w:rPr>
        <w:t>на 2022 год</w:t>
      </w:r>
    </w:p>
    <w:tbl>
      <w:tblPr>
        <w:tblW w:w="9274" w:type="dxa"/>
        <w:jc w:val="center"/>
        <w:tblLayout w:type="fixed"/>
        <w:tblLook w:val="00A0" w:firstRow="1" w:lastRow="0" w:firstColumn="1" w:lastColumn="0" w:noHBand="0" w:noVBand="0"/>
      </w:tblPr>
      <w:tblGrid>
        <w:gridCol w:w="3426"/>
        <w:gridCol w:w="1420"/>
        <w:gridCol w:w="1556"/>
        <w:gridCol w:w="1475"/>
        <w:gridCol w:w="1397"/>
      </w:tblGrid>
      <w:tr w:rsidR="004B445D" w:rsidRPr="004B445D" w:rsidTr="00BC36B0">
        <w:trPr>
          <w:cantSplit/>
          <w:trHeight w:val="256"/>
          <w:jc w:val="center"/>
        </w:trPr>
        <w:tc>
          <w:tcPr>
            <w:tcW w:w="3426" w:type="dxa"/>
            <w:vMerge w:val="restart"/>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40" w:lineRule="auto"/>
              <w:ind w:left="0" w:firstLine="0"/>
              <w:jc w:val="center"/>
              <w:rPr>
                <w:sz w:val="28"/>
                <w:szCs w:val="28"/>
              </w:rPr>
            </w:pPr>
            <w:r w:rsidRPr="004B445D">
              <w:rPr>
                <w:sz w:val="28"/>
                <w:szCs w:val="28"/>
              </w:rPr>
              <w:t>Показатели</w:t>
            </w:r>
          </w:p>
        </w:tc>
        <w:tc>
          <w:tcPr>
            <w:tcW w:w="1420" w:type="dxa"/>
            <w:vMerge w:val="restart"/>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40" w:lineRule="auto"/>
              <w:ind w:left="0" w:firstLine="0"/>
              <w:jc w:val="center"/>
              <w:rPr>
                <w:sz w:val="28"/>
                <w:szCs w:val="28"/>
              </w:rPr>
            </w:pPr>
            <w:r w:rsidRPr="004B445D">
              <w:rPr>
                <w:sz w:val="28"/>
                <w:szCs w:val="28"/>
              </w:rPr>
              <w:t>Ед. изм.</w:t>
            </w:r>
          </w:p>
        </w:tc>
        <w:tc>
          <w:tcPr>
            <w:tcW w:w="3031" w:type="dxa"/>
            <w:gridSpan w:val="2"/>
            <w:tcBorders>
              <w:top w:val="single" w:sz="4" w:space="0" w:color="000000"/>
              <w:left w:val="single" w:sz="4" w:space="0" w:color="000000"/>
              <w:bottom w:val="single" w:sz="4" w:space="0" w:color="000000"/>
              <w:right w:val="single" w:sz="4" w:space="0" w:color="000000"/>
            </w:tcBorders>
          </w:tcPr>
          <w:p w:rsidR="004B445D" w:rsidRPr="004B445D" w:rsidRDefault="004B445D" w:rsidP="00BC36B0">
            <w:pPr>
              <w:pStyle w:val="230"/>
              <w:keepNext/>
              <w:keepLines/>
              <w:spacing w:after="0" w:line="240" w:lineRule="auto"/>
              <w:ind w:left="0" w:firstLine="0"/>
              <w:jc w:val="center"/>
              <w:rPr>
                <w:sz w:val="28"/>
                <w:szCs w:val="28"/>
              </w:rPr>
            </w:pPr>
            <w:r w:rsidRPr="004B445D">
              <w:rPr>
                <w:sz w:val="28"/>
                <w:szCs w:val="28"/>
              </w:rPr>
              <w:t>Прогноз на 2022 год</w:t>
            </w:r>
          </w:p>
        </w:tc>
        <w:tc>
          <w:tcPr>
            <w:tcW w:w="1397" w:type="dxa"/>
            <w:vMerge w:val="restart"/>
            <w:tcBorders>
              <w:top w:val="single" w:sz="4" w:space="0" w:color="000000"/>
              <w:left w:val="single" w:sz="4" w:space="0" w:color="000000"/>
              <w:bottom w:val="single" w:sz="4" w:space="0" w:color="000000"/>
              <w:right w:val="single" w:sz="4" w:space="0" w:color="000000"/>
            </w:tcBorders>
          </w:tcPr>
          <w:p w:rsidR="004B445D" w:rsidRPr="004B445D" w:rsidRDefault="004B445D" w:rsidP="00BC36B0">
            <w:pPr>
              <w:pStyle w:val="230"/>
              <w:keepNext/>
              <w:keepLines/>
              <w:spacing w:after="0" w:line="240" w:lineRule="auto"/>
              <w:ind w:left="0" w:firstLine="0"/>
              <w:jc w:val="center"/>
              <w:rPr>
                <w:sz w:val="28"/>
                <w:szCs w:val="28"/>
              </w:rPr>
            </w:pPr>
            <w:r w:rsidRPr="004B445D">
              <w:rPr>
                <w:sz w:val="28"/>
                <w:szCs w:val="28"/>
              </w:rPr>
              <w:t>2022 год (оценка)</w:t>
            </w:r>
          </w:p>
        </w:tc>
      </w:tr>
      <w:tr w:rsidR="004B445D" w:rsidRPr="004B445D" w:rsidTr="00BC36B0">
        <w:trPr>
          <w:cantSplit/>
          <w:trHeight w:val="283"/>
          <w:jc w:val="center"/>
        </w:trPr>
        <w:tc>
          <w:tcPr>
            <w:tcW w:w="3426" w:type="dxa"/>
            <w:vMerge/>
            <w:tcBorders>
              <w:top w:val="single" w:sz="4" w:space="0" w:color="000000"/>
              <w:left w:val="single" w:sz="4" w:space="0" w:color="000000"/>
              <w:bottom w:val="single" w:sz="4" w:space="0" w:color="000000"/>
              <w:right w:val="nil"/>
            </w:tcBorders>
            <w:vAlign w:val="center"/>
          </w:tcPr>
          <w:p w:rsidR="004B445D" w:rsidRPr="004B445D" w:rsidRDefault="004B445D" w:rsidP="00BC36B0">
            <w:pPr>
              <w:suppressAutoHyphens w:val="0"/>
              <w:ind w:firstLine="0"/>
              <w:jc w:val="center"/>
              <w:rPr>
                <w:sz w:val="28"/>
                <w:szCs w:val="28"/>
              </w:rPr>
            </w:pPr>
          </w:p>
        </w:tc>
        <w:tc>
          <w:tcPr>
            <w:tcW w:w="1420" w:type="dxa"/>
            <w:vMerge/>
            <w:tcBorders>
              <w:top w:val="single" w:sz="4" w:space="0" w:color="000000"/>
              <w:left w:val="single" w:sz="4" w:space="0" w:color="000000"/>
              <w:bottom w:val="single" w:sz="4" w:space="0" w:color="000000"/>
              <w:right w:val="nil"/>
            </w:tcBorders>
            <w:vAlign w:val="center"/>
          </w:tcPr>
          <w:p w:rsidR="004B445D" w:rsidRPr="004B445D" w:rsidRDefault="004B445D" w:rsidP="00BC36B0">
            <w:pPr>
              <w:suppressAutoHyphens w:val="0"/>
              <w:ind w:firstLine="0"/>
              <w:jc w:val="center"/>
              <w:rPr>
                <w:sz w:val="28"/>
                <w:szCs w:val="28"/>
              </w:rPr>
            </w:pPr>
          </w:p>
        </w:tc>
        <w:tc>
          <w:tcPr>
            <w:tcW w:w="1556" w:type="dxa"/>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76" w:lineRule="auto"/>
              <w:ind w:left="0" w:firstLine="0"/>
              <w:jc w:val="center"/>
              <w:rPr>
                <w:sz w:val="28"/>
                <w:szCs w:val="28"/>
              </w:rPr>
            </w:pPr>
            <w:r w:rsidRPr="004B445D">
              <w:rPr>
                <w:sz w:val="28"/>
                <w:szCs w:val="28"/>
              </w:rPr>
              <w:t>1 вариант</w:t>
            </w:r>
          </w:p>
        </w:tc>
        <w:tc>
          <w:tcPr>
            <w:tcW w:w="1475" w:type="dxa"/>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76" w:lineRule="auto"/>
              <w:ind w:left="0" w:firstLine="0"/>
              <w:jc w:val="center"/>
              <w:rPr>
                <w:sz w:val="28"/>
                <w:szCs w:val="28"/>
              </w:rPr>
            </w:pPr>
            <w:r w:rsidRPr="004B445D">
              <w:rPr>
                <w:sz w:val="28"/>
                <w:szCs w:val="28"/>
              </w:rPr>
              <w:t>2 вариант</w:t>
            </w:r>
          </w:p>
        </w:tc>
        <w:tc>
          <w:tcPr>
            <w:tcW w:w="1397" w:type="dxa"/>
            <w:vMerge/>
            <w:tcBorders>
              <w:top w:val="single" w:sz="4" w:space="0" w:color="000000"/>
              <w:left w:val="single" w:sz="4" w:space="0" w:color="000000"/>
              <w:bottom w:val="single" w:sz="4" w:space="0" w:color="000000"/>
              <w:right w:val="single" w:sz="4" w:space="0" w:color="000000"/>
            </w:tcBorders>
            <w:vAlign w:val="center"/>
          </w:tcPr>
          <w:p w:rsidR="004B445D" w:rsidRPr="004B445D" w:rsidRDefault="004B445D" w:rsidP="00BC36B0">
            <w:pPr>
              <w:suppressAutoHyphens w:val="0"/>
              <w:ind w:firstLine="0"/>
              <w:jc w:val="center"/>
              <w:rPr>
                <w:sz w:val="28"/>
                <w:szCs w:val="28"/>
              </w:rPr>
            </w:pPr>
          </w:p>
        </w:tc>
      </w:tr>
      <w:tr w:rsidR="004B445D" w:rsidRPr="004B445D" w:rsidTr="00BC36B0">
        <w:trPr>
          <w:trHeight w:val="400"/>
          <w:jc w:val="center"/>
        </w:trPr>
        <w:tc>
          <w:tcPr>
            <w:tcW w:w="3426" w:type="dxa"/>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76" w:lineRule="auto"/>
              <w:ind w:left="0" w:firstLine="0"/>
              <w:rPr>
                <w:sz w:val="28"/>
                <w:szCs w:val="28"/>
              </w:rPr>
            </w:pPr>
            <w:r w:rsidRPr="004B445D">
              <w:rPr>
                <w:sz w:val="28"/>
                <w:szCs w:val="28"/>
              </w:rPr>
              <w:t>Объем услуг связи</w:t>
            </w:r>
          </w:p>
        </w:tc>
        <w:tc>
          <w:tcPr>
            <w:tcW w:w="1420" w:type="dxa"/>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76" w:lineRule="auto"/>
              <w:ind w:left="0" w:firstLine="0"/>
              <w:jc w:val="center"/>
              <w:rPr>
                <w:sz w:val="28"/>
                <w:szCs w:val="28"/>
              </w:rPr>
            </w:pPr>
            <w:r w:rsidRPr="004B445D">
              <w:rPr>
                <w:sz w:val="28"/>
                <w:szCs w:val="28"/>
              </w:rPr>
              <w:t>млн. рублей</w:t>
            </w:r>
          </w:p>
        </w:tc>
        <w:tc>
          <w:tcPr>
            <w:tcW w:w="1556" w:type="dxa"/>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40" w:lineRule="auto"/>
              <w:ind w:left="0" w:firstLine="0"/>
              <w:jc w:val="center"/>
              <w:rPr>
                <w:sz w:val="28"/>
                <w:szCs w:val="28"/>
              </w:rPr>
            </w:pPr>
            <w:r w:rsidRPr="004B445D">
              <w:rPr>
                <w:sz w:val="28"/>
                <w:szCs w:val="28"/>
              </w:rPr>
              <w:t>3 688,0</w:t>
            </w:r>
          </w:p>
        </w:tc>
        <w:tc>
          <w:tcPr>
            <w:tcW w:w="1475" w:type="dxa"/>
            <w:tcBorders>
              <w:top w:val="single" w:sz="4" w:space="0" w:color="000000"/>
              <w:left w:val="single" w:sz="4" w:space="0" w:color="000000"/>
              <w:bottom w:val="single" w:sz="4" w:space="0" w:color="000000"/>
              <w:right w:val="nil"/>
            </w:tcBorders>
            <w:vAlign w:val="center"/>
          </w:tcPr>
          <w:p w:rsidR="004B445D" w:rsidRPr="004B445D" w:rsidRDefault="004B445D" w:rsidP="00BC36B0">
            <w:pPr>
              <w:pStyle w:val="230"/>
              <w:keepNext/>
              <w:keepLines/>
              <w:spacing w:after="0" w:line="240" w:lineRule="auto"/>
              <w:ind w:left="0" w:firstLine="0"/>
              <w:jc w:val="center"/>
              <w:rPr>
                <w:sz w:val="28"/>
                <w:szCs w:val="28"/>
              </w:rPr>
            </w:pPr>
            <w:r w:rsidRPr="004B445D">
              <w:rPr>
                <w:sz w:val="28"/>
                <w:szCs w:val="28"/>
              </w:rPr>
              <w:t>3 847,4</w:t>
            </w:r>
          </w:p>
        </w:tc>
        <w:tc>
          <w:tcPr>
            <w:tcW w:w="1397" w:type="dxa"/>
            <w:tcBorders>
              <w:top w:val="single" w:sz="4" w:space="0" w:color="000000"/>
              <w:left w:val="single" w:sz="4" w:space="0" w:color="000000"/>
              <w:bottom w:val="single" w:sz="4" w:space="0" w:color="000000"/>
              <w:right w:val="single" w:sz="4" w:space="0" w:color="000000"/>
            </w:tcBorders>
            <w:vAlign w:val="center"/>
          </w:tcPr>
          <w:p w:rsidR="004B445D" w:rsidRPr="004B445D" w:rsidRDefault="004B445D" w:rsidP="00BD222F">
            <w:pPr>
              <w:pStyle w:val="230"/>
              <w:keepNext/>
              <w:keepLines/>
              <w:spacing w:after="0" w:line="240" w:lineRule="auto"/>
              <w:ind w:left="0" w:firstLine="0"/>
              <w:jc w:val="center"/>
              <w:rPr>
                <w:sz w:val="28"/>
                <w:szCs w:val="28"/>
              </w:rPr>
            </w:pPr>
            <w:r w:rsidRPr="004B445D">
              <w:rPr>
                <w:sz w:val="28"/>
                <w:szCs w:val="28"/>
              </w:rPr>
              <w:t>3</w:t>
            </w:r>
            <w:r w:rsidR="00BD222F">
              <w:rPr>
                <w:sz w:val="28"/>
                <w:szCs w:val="28"/>
              </w:rPr>
              <w:t> 282,5</w:t>
            </w:r>
          </w:p>
        </w:tc>
      </w:tr>
    </w:tbl>
    <w:p w:rsidR="004B445D" w:rsidRPr="004B445D" w:rsidRDefault="004B445D" w:rsidP="004B445D">
      <w:pPr>
        <w:pStyle w:val="112"/>
        <w:spacing w:line="276" w:lineRule="auto"/>
        <w:ind w:firstLine="0"/>
        <w:jc w:val="center"/>
        <w:rPr>
          <w:rFonts w:ascii="Times New Roman" w:hAnsi="Times New Roman" w:cs="Times New Roman"/>
          <w:b/>
          <w:sz w:val="28"/>
          <w:szCs w:val="28"/>
        </w:rPr>
      </w:pPr>
    </w:p>
    <w:p w:rsidR="00034E03" w:rsidRDefault="00034E03" w:rsidP="004B445D">
      <w:pPr>
        <w:widowControl w:val="0"/>
        <w:suppressAutoHyphens w:val="0"/>
        <w:autoSpaceDE w:val="0"/>
        <w:autoSpaceDN w:val="0"/>
        <w:adjustRightInd w:val="0"/>
        <w:spacing w:line="276" w:lineRule="auto"/>
        <w:rPr>
          <w:rFonts w:eastAsiaTheme="minorEastAsia"/>
          <w:sz w:val="28"/>
          <w:szCs w:val="28"/>
          <w:lang w:eastAsia="ru-RU"/>
        </w:rPr>
      </w:pPr>
      <w:r w:rsidRPr="00497A44">
        <w:rPr>
          <w:sz w:val="28"/>
          <w:szCs w:val="28"/>
        </w:rPr>
        <w:t>Значени</w:t>
      </w:r>
      <w:r>
        <w:rPr>
          <w:sz w:val="28"/>
          <w:szCs w:val="28"/>
        </w:rPr>
        <w:t>е</w:t>
      </w:r>
      <w:r w:rsidRPr="00497A44">
        <w:rPr>
          <w:sz w:val="28"/>
          <w:szCs w:val="28"/>
        </w:rPr>
        <w:t xml:space="preserve"> показателей на 2022 год скорректированы относительно прошлогоднего прогноза на основании сложившейся в текущем году динамики фактическ</w:t>
      </w:r>
      <w:r>
        <w:rPr>
          <w:sz w:val="28"/>
          <w:szCs w:val="28"/>
        </w:rPr>
        <w:t>ого</w:t>
      </w:r>
      <w:r w:rsidRPr="00497A44">
        <w:rPr>
          <w:sz w:val="28"/>
          <w:szCs w:val="28"/>
        </w:rPr>
        <w:t xml:space="preserve"> значени</w:t>
      </w:r>
      <w:r>
        <w:rPr>
          <w:sz w:val="28"/>
          <w:szCs w:val="28"/>
        </w:rPr>
        <w:t>я</w:t>
      </w:r>
      <w:r w:rsidRPr="00497A44">
        <w:rPr>
          <w:sz w:val="28"/>
          <w:szCs w:val="28"/>
        </w:rPr>
        <w:t xml:space="preserve"> показател</w:t>
      </w:r>
      <w:r>
        <w:rPr>
          <w:sz w:val="28"/>
          <w:szCs w:val="28"/>
        </w:rPr>
        <w:t>я.</w:t>
      </w:r>
    </w:p>
    <w:p w:rsidR="004B445D" w:rsidRPr="004B445D" w:rsidRDefault="004B445D" w:rsidP="004B445D">
      <w:pPr>
        <w:widowControl w:val="0"/>
        <w:suppressAutoHyphens w:val="0"/>
        <w:autoSpaceDE w:val="0"/>
        <w:autoSpaceDN w:val="0"/>
        <w:adjustRightInd w:val="0"/>
        <w:spacing w:line="276" w:lineRule="auto"/>
        <w:rPr>
          <w:rFonts w:eastAsiaTheme="minorEastAsia"/>
          <w:sz w:val="28"/>
          <w:szCs w:val="28"/>
          <w:lang w:eastAsia="ru-RU"/>
        </w:rPr>
      </w:pPr>
      <w:r w:rsidRPr="004B445D">
        <w:rPr>
          <w:rFonts w:eastAsiaTheme="minorEastAsia"/>
          <w:sz w:val="28"/>
          <w:szCs w:val="28"/>
          <w:lang w:eastAsia="ru-RU"/>
        </w:rPr>
        <w:t>В итоге, исходя из оценки текущей ситуации на рынке услуг связи, оценочное значение объема услуг, оказанных предприятиями связи по городскому округу Тольятти в 2022 году составит 3</w:t>
      </w:r>
      <w:r w:rsidR="00BD222F">
        <w:rPr>
          <w:rFonts w:eastAsiaTheme="minorEastAsia"/>
          <w:sz w:val="28"/>
          <w:szCs w:val="28"/>
          <w:lang w:eastAsia="ru-RU"/>
        </w:rPr>
        <w:t> 282,5</w:t>
      </w:r>
      <w:r w:rsidRPr="004B445D">
        <w:rPr>
          <w:rFonts w:eastAsiaTheme="minorEastAsia"/>
          <w:sz w:val="28"/>
          <w:szCs w:val="28"/>
          <w:lang w:eastAsia="ru-RU"/>
        </w:rPr>
        <w:t xml:space="preserve"> млн. руб</w:t>
      </w:r>
      <w:r w:rsidR="00EF2D65">
        <w:rPr>
          <w:rFonts w:eastAsiaTheme="minorEastAsia"/>
          <w:sz w:val="28"/>
          <w:szCs w:val="28"/>
          <w:lang w:eastAsia="ru-RU"/>
        </w:rPr>
        <w:t>.</w:t>
      </w:r>
      <w:r w:rsidRPr="004B445D">
        <w:rPr>
          <w:rFonts w:eastAsiaTheme="minorEastAsia"/>
          <w:sz w:val="28"/>
          <w:szCs w:val="28"/>
          <w:lang w:eastAsia="ru-RU"/>
        </w:rPr>
        <w:t xml:space="preserve">, что на </w:t>
      </w:r>
      <w:r w:rsidR="00BD222F">
        <w:rPr>
          <w:rFonts w:eastAsiaTheme="minorEastAsia"/>
          <w:sz w:val="28"/>
          <w:szCs w:val="28"/>
          <w:lang w:eastAsia="ru-RU"/>
        </w:rPr>
        <w:t>8</w:t>
      </w:r>
      <w:r w:rsidRPr="004B445D">
        <w:rPr>
          <w:rFonts w:eastAsiaTheme="minorEastAsia"/>
          <w:sz w:val="28"/>
          <w:szCs w:val="28"/>
          <w:lang w:eastAsia="ru-RU"/>
        </w:rPr>
        <w:t xml:space="preserve">,3% </w:t>
      </w:r>
      <w:r w:rsidR="00BD222F">
        <w:rPr>
          <w:rFonts w:eastAsiaTheme="minorEastAsia"/>
          <w:sz w:val="28"/>
          <w:szCs w:val="28"/>
          <w:lang w:eastAsia="ru-RU"/>
        </w:rPr>
        <w:t>ниже</w:t>
      </w:r>
      <w:r w:rsidRPr="004B445D">
        <w:rPr>
          <w:rFonts w:eastAsiaTheme="minorEastAsia"/>
          <w:sz w:val="28"/>
          <w:szCs w:val="28"/>
          <w:lang w:eastAsia="ru-RU"/>
        </w:rPr>
        <w:t xml:space="preserve"> уровня прошлого года.   </w:t>
      </w:r>
    </w:p>
    <w:p w:rsidR="004B445D" w:rsidRDefault="004B445D" w:rsidP="00461D7E">
      <w:pPr>
        <w:widowControl w:val="0"/>
        <w:suppressAutoHyphens w:val="0"/>
        <w:autoSpaceDE w:val="0"/>
        <w:autoSpaceDN w:val="0"/>
        <w:adjustRightInd w:val="0"/>
        <w:spacing w:after="120" w:line="276" w:lineRule="auto"/>
        <w:rPr>
          <w:rFonts w:eastAsiaTheme="minorEastAsia"/>
          <w:sz w:val="28"/>
          <w:szCs w:val="28"/>
          <w:lang w:eastAsia="ru-RU"/>
        </w:rPr>
      </w:pPr>
      <w:r w:rsidRPr="004B445D">
        <w:rPr>
          <w:rFonts w:eastAsiaTheme="minorEastAsia"/>
          <w:sz w:val="28"/>
          <w:szCs w:val="28"/>
          <w:lang w:eastAsia="ru-RU"/>
        </w:rPr>
        <w:t>Приоритетными направлениями деятельности операторов сотовой связи в 2022 году останутся: расширение зоны покрытия с целью улучшения качества сотовой связи, разработка новых тарифных предложений, ориентированных на различные целевые группы населения, поддержание конкурентных цен на услуги связи; активизация работы по привлечению корпоративных клиентов, расширение сети офисов продаж, экспресс обслуживания, организация услуг самообслуживания и др.</w:t>
      </w:r>
    </w:p>
    <w:p w:rsidR="00186591" w:rsidRPr="004B445D" w:rsidRDefault="00186591" w:rsidP="00461D7E">
      <w:pPr>
        <w:pStyle w:val="3"/>
        <w:spacing w:before="120" w:after="120"/>
        <w:rPr>
          <w:sz w:val="28"/>
          <w:szCs w:val="28"/>
        </w:rPr>
      </w:pPr>
      <w:r w:rsidRPr="004B445D">
        <w:rPr>
          <w:sz w:val="28"/>
          <w:szCs w:val="28"/>
        </w:rPr>
        <w:t>Образование</w:t>
      </w:r>
    </w:p>
    <w:p w:rsidR="00124549" w:rsidRPr="00E63FBE" w:rsidRDefault="00124549" w:rsidP="00F75168">
      <w:pPr>
        <w:tabs>
          <w:tab w:val="left" w:pos="-360"/>
          <w:tab w:val="left" w:pos="360"/>
          <w:tab w:val="left" w:pos="567"/>
          <w:tab w:val="left" w:pos="1260"/>
          <w:tab w:val="num" w:pos="2106"/>
        </w:tabs>
        <w:spacing w:line="276" w:lineRule="auto"/>
        <w:rPr>
          <w:bCs/>
          <w:sz w:val="28"/>
          <w:szCs w:val="28"/>
          <w:lang w:eastAsia="ru-RU"/>
        </w:rPr>
      </w:pPr>
      <w:r w:rsidRPr="00E63FBE">
        <w:rPr>
          <w:bCs/>
          <w:sz w:val="28"/>
          <w:szCs w:val="28"/>
          <w:lang w:eastAsia="ru-RU"/>
        </w:rPr>
        <w:t>В городской системе образования на 01.07.2022 функционирует 49 дошкольных образовательных учреждений, 13 структурных подразделений муниципальных общеобразовательных учреждений, реализующих образовательные программы дошкольного образования.</w:t>
      </w:r>
    </w:p>
    <w:p w:rsidR="00124549" w:rsidRPr="00E63FBE" w:rsidRDefault="00124549" w:rsidP="00F75168">
      <w:pPr>
        <w:spacing w:line="276" w:lineRule="auto"/>
        <w:rPr>
          <w:bCs/>
          <w:sz w:val="28"/>
          <w:szCs w:val="28"/>
          <w:lang w:eastAsia="ru-RU"/>
        </w:rPr>
      </w:pPr>
      <w:r w:rsidRPr="00E63FBE">
        <w:rPr>
          <w:bCs/>
          <w:sz w:val="28"/>
          <w:szCs w:val="28"/>
          <w:lang w:eastAsia="ru-RU"/>
        </w:rPr>
        <w:t>Кроме того, функционируют 8 образовательных организаций и учреждений, реализующих образовательные программы дошкольного образования, и 1 ведомственный детский сад:</w:t>
      </w:r>
    </w:p>
    <w:p w:rsidR="00124549" w:rsidRPr="00E63FBE" w:rsidRDefault="00124549" w:rsidP="00F75168">
      <w:pPr>
        <w:tabs>
          <w:tab w:val="left" w:pos="360"/>
          <w:tab w:val="left" w:pos="567"/>
          <w:tab w:val="left" w:pos="851"/>
        </w:tabs>
        <w:spacing w:line="276" w:lineRule="auto"/>
        <w:rPr>
          <w:sz w:val="28"/>
          <w:szCs w:val="28"/>
          <w:lang w:eastAsia="ru-RU"/>
        </w:rPr>
      </w:pPr>
      <w:r w:rsidRPr="00E63FBE">
        <w:rPr>
          <w:sz w:val="28"/>
          <w:szCs w:val="28"/>
          <w:lang w:eastAsia="ru-RU"/>
        </w:rPr>
        <w:t xml:space="preserve">- 1 автономная некоммерческая организация дошкольного образования «Планета детства «Лада», в составе которой работают 50 структурных подразделений - детских садов; </w:t>
      </w:r>
    </w:p>
    <w:p w:rsidR="00124549" w:rsidRPr="00E63FBE" w:rsidRDefault="00124549" w:rsidP="00F75168">
      <w:pPr>
        <w:tabs>
          <w:tab w:val="left" w:pos="284"/>
          <w:tab w:val="left" w:pos="567"/>
          <w:tab w:val="left" w:pos="851"/>
        </w:tabs>
        <w:spacing w:line="276" w:lineRule="auto"/>
        <w:rPr>
          <w:sz w:val="28"/>
          <w:szCs w:val="28"/>
          <w:lang w:eastAsia="ru-RU"/>
        </w:rPr>
      </w:pPr>
      <w:r w:rsidRPr="00E63FBE">
        <w:rPr>
          <w:sz w:val="28"/>
          <w:szCs w:val="28"/>
          <w:lang w:eastAsia="ru-RU"/>
        </w:rPr>
        <w:t>- 3 автономные некоммерческие образовательные организации «Ступени», «Православная классическая гимназия», «Солнечный круг»;</w:t>
      </w:r>
    </w:p>
    <w:p w:rsidR="00124549" w:rsidRPr="00E63FBE" w:rsidRDefault="00124549" w:rsidP="00F75168">
      <w:pPr>
        <w:tabs>
          <w:tab w:val="left" w:pos="284"/>
          <w:tab w:val="left" w:pos="567"/>
          <w:tab w:val="left" w:pos="851"/>
        </w:tabs>
        <w:spacing w:line="276" w:lineRule="auto"/>
        <w:rPr>
          <w:sz w:val="28"/>
          <w:szCs w:val="28"/>
          <w:lang w:eastAsia="ru-RU"/>
        </w:rPr>
      </w:pPr>
      <w:r w:rsidRPr="00E63FBE">
        <w:rPr>
          <w:sz w:val="28"/>
          <w:szCs w:val="28"/>
          <w:lang w:eastAsia="ru-RU"/>
        </w:rPr>
        <w:t>- 3 частных образовательных учреждения, имеющие в своей структуре группы для детей дошкольного возраста;</w:t>
      </w:r>
    </w:p>
    <w:p w:rsidR="00124549" w:rsidRPr="00E63FBE" w:rsidRDefault="00124549" w:rsidP="00F75168">
      <w:pPr>
        <w:tabs>
          <w:tab w:val="left" w:pos="284"/>
          <w:tab w:val="left" w:pos="567"/>
          <w:tab w:val="left" w:pos="851"/>
        </w:tabs>
        <w:spacing w:line="276" w:lineRule="auto"/>
        <w:rPr>
          <w:snapToGrid w:val="0"/>
          <w:sz w:val="28"/>
          <w:szCs w:val="28"/>
          <w:lang w:eastAsia="ru-RU"/>
        </w:rPr>
      </w:pPr>
      <w:r w:rsidRPr="00E63FBE">
        <w:rPr>
          <w:snapToGrid w:val="0"/>
          <w:sz w:val="28"/>
          <w:szCs w:val="28"/>
          <w:lang w:eastAsia="ru-RU"/>
        </w:rPr>
        <w:t>- 1 структурное подразделение государственного образовательного учреждения - Центр дошкольного образования;</w:t>
      </w:r>
    </w:p>
    <w:p w:rsidR="00124549" w:rsidRPr="00E63FBE" w:rsidRDefault="00124549" w:rsidP="00F75168">
      <w:pPr>
        <w:tabs>
          <w:tab w:val="left" w:pos="284"/>
          <w:tab w:val="left" w:pos="567"/>
          <w:tab w:val="left" w:pos="851"/>
        </w:tabs>
        <w:spacing w:line="276" w:lineRule="auto"/>
        <w:rPr>
          <w:sz w:val="28"/>
          <w:szCs w:val="28"/>
          <w:lang w:eastAsia="ru-RU"/>
        </w:rPr>
      </w:pPr>
      <w:r w:rsidRPr="00E63FBE">
        <w:rPr>
          <w:sz w:val="28"/>
          <w:szCs w:val="28"/>
          <w:lang w:eastAsia="ru-RU"/>
        </w:rPr>
        <w:t>- 1 ведомственный детский сад № 205 «Тюльпан».</w:t>
      </w:r>
    </w:p>
    <w:p w:rsidR="00124549" w:rsidRPr="00E63FBE" w:rsidRDefault="00124549" w:rsidP="00F75168">
      <w:pPr>
        <w:tabs>
          <w:tab w:val="left" w:pos="-360"/>
          <w:tab w:val="left" w:pos="360"/>
          <w:tab w:val="left" w:pos="567"/>
          <w:tab w:val="left" w:pos="1260"/>
          <w:tab w:val="num" w:pos="2106"/>
        </w:tabs>
        <w:spacing w:line="276" w:lineRule="auto"/>
        <w:rPr>
          <w:bCs/>
          <w:sz w:val="28"/>
          <w:szCs w:val="28"/>
          <w:lang w:eastAsia="ru-RU"/>
        </w:rPr>
      </w:pPr>
      <w:r w:rsidRPr="00E63FBE">
        <w:rPr>
          <w:bCs/>
          <w:sz w:val="28"/>
          <w:szCs w:val="28"/>
          <w:lang w:eastAsia="ru-RU"/>
        </w:rPr>
        <w:t xml:space="preserve">Услугами дошкольного образования по состоянию на 01.07.2022 охвачено 34,4 тыс. детей в возрасте от 9 месяцев до 7 лет, что на 7,5% меньше аналогичного периода 2021 года по причине 100% охвата дошкольным образованием детей в возрасте старше 3-х лет в условиях сокращения количества детей дошкольного возраста. </w:t>
      </w:r>
      <w:r w:rsidRPr="00E63FBE">
        <w:rPr>
          <w:sz w:val="28"/>
          <w:szCs w:val="28"/>
          <w:lang w:eastAsia="ru-RU"/>
        </w:rPr>
        <w:t>Охват детей дошкольным образованием в городском округе Тольятти составляет 74,5%.</w:t>
      </w:r>
    </w:p>
    <w:p w:rsidR="00124549" w:rsidRPr="00C54FC7" w:rsidRDefault="00124549" w:rsidP="00F75168">
      <w:pPr>
        <w:tabs>
          <w:tab w:val="left" w:pos="-360"/>
          <w:tab w:val="left" w:pos="360"/>
          <w:tab w:val="left" w:pos="567"/>
          <w:tab w:val="left" w:pos="1260"/>
          <w:tab w:val="num" w:pos="2106"/>
        </w:tabs>
        <w:spacing w:line="276" w:lineRule="auto"/>
        <w:rPr>
          <w:bCs/>
          <w:sz w:val="28"/>
          <w:szCs w:val="28"/>
          <w:lang w:eastAsia="ru-RU"/>
        </w:rPr>
      </w:pPr>
      <w:r w:rsidRPr="00C54FC7">
        <w:rPr>
          <w:bCs/>
          <w:sz w:val="28"/>
          <w:szCs w:val="28"/>
          <w:lang w:eastAsia="ru-RU"/>
        </w:rPr>
        <w:t xml:space="preserve">Из общего количества организованных детей дошкольного возраста: </w:t>
      </w:r>
    </w:p>
    <w:p w:rsidR="00124549" w:rsidRPr="00C54FC7" w:rsidRDefault="00124549" w:rsidP="00F75168">
      <w:pPr>
        <w:spacing w:line="276" w:lineRule="auto"/>
        <w:rPr>
          <w:sz w:val="28"/>
          <w:szCs w:val="28"/>
          <w:lang w:eastAsia="ru-RU"/>
        </w:rPr>
      </w:pPr>
      <w:r w:rsidRPr="00C54FC7">
        <w:rPr>
          <w:sz w:val="28"/>
          <w:szCs w:val="28"/>
          <w:lang w:eastAsia="ru-RU"/>
        </w:rPr>
        <w:t xml:space="preserve">- 21,7 тыс. детей посещают муниципальные образовательные учреждения, реализующие образовательные программы дошкольного образования, в </w:t>
      </w:r>
      <w:r w:rsidR="00461D7E">
        <w:rPr>
          <w:sz w:val="28"/>
          <w:szCs w:val="28"/>
          <w:lang w:eastAsia="ru-RU"/>
        </w:rPr>
        <w:t>том числе</w:t>
      </w:r>
      <w:r w:rsidRPr="00C54FC7">
        <w:rPr>
          <w:sz w:val="28"/>
          <w:szCs w:val="28"/>
          <w:lang w:eastAsia="ru-RU"/>
        </w:rPr>
        <w:t xml:space="preserve"> 5 детей – группы кратковременного пребывания;</w:t>
      </w:r>
    </w:p>
    <w:p w:rsidR="00124549" w:rsidRPr="00C54FC7" w:rsidRDefault="00124549" w:rsidP="00F75168">
      <w:pPr>
        <w:tabs>
          <w:tab w:val="left" w:pos="567"/>
          <w:tab w:val="left" w:pos="709"/>
        </w:tabs>
        <w:spacing w:line="276" w:lineRule="auto"/>
        <w:contextualSpacing/>
        <w:rPr>
          <w:rFonts w:eastAsia="Calibri"/>
          <w:sz w:val="28"/>
          <w:szCs w:val="28"/>
          <w:lang w:eastAsia="ru-RU"/>
        </w:rPr>
      </w:pPr>
      <w:r w:rsidRPr="00C54FC7">
        <w:rPr>
          <w:rFonts w:eastAsia="Calibri"/>
          <w:sz w:val="28"/>
          <w:szCs w:val="28"/>
          <w:lang w:eastAsia="ru-RU"/>
        </w:rPr>
        <w:t xml:space="preserve">- 12,1 тыс. детей посещают детские сады АНО ДО «Планета детства «Лада»; </w:t>
      </w:r>
    </w:p>
    <w:p w:rsidR="00124549" w:rsidRPr="00C54FC7" w:rsidRDefault="00124549" w:rsidP="00F75168">
      <w:pPr>
        <w:tabs>
          <w:tab w:val="left" w:pos="567"/>
          <w:tab w:val="left" w:pos="709"/>
        </w:tabs>
        <w:spacing w:line="276" w:lineRule="auto"/>
        <w:contextualSpacing/>
        <w:rPr>
          <w:rFonts w:eastAsia="Calibri"/>
          <w:sz w:val="28"/>
          <w:szCs w:val="28"/>
          <w:lang w:eastAsia="ru-RU"/>
        </w:rPr>
      </w:pPr>
      <w:r w:rsidRPr="00C54FC7">
        <w:rPr>
          <w:rFonts w:eastAsia="Calibri"/>
          <w:sz w:val="28"/>
          <w:szCs w:val="28"/>
          <w:lang w:eastAsia="ru-RU"/>
        </w:rPr>
        <w:t xml:space="preserve">- 529 детей получают образовательные услуги, посещая частные образовательные учреждения, ведомственный детский сад;  </w:t>
      </w:r>
    </w:p>
    <w:p w:rsidR="00124549" w:rsidRPr="00C54FC7" w:rsidRDefault="00124549" w:rsidP="00F75168">
      <w:pPr>
        <w:tabs>
          <w:tab w:val="left" w:pos="709"/>
        </w:tabs>
        <w:spacing w:line="276" w:lineRule="auto"/>
        <w:contextualSpacing/>
        <w:rPr>
          <w:rFonts w:eastAsia="Calibri"/>
          <w:sz w:val="28"/>
          <w:szCs w:val="28"/>
          <w:lang w:eastAsia="ru-RU"/>
        </w:rPr>
      </w:pPr>
      <w:r w:rsidRPr="00C54FC7">
        <w:rPr>
          <w:rFonts w:eastAsia="Calibri"/>
          <w:sz w:val="28"/>
          <w:szCs w:val="28"/>
          <w:lang w:eastAsia="ru-RU"/>
        </w:rPr>
        <w:t>- 80 детей получают образовательные услуги в структурном подразделении государственного образовательного учреждения (Государственное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124549" w:rsidRPr="00C54FC7" w:rsidRDefault="00124549" w:rsidP="00F75168">
      <w:pPr>
        <w:spacing w:line="276" w:lineRule="auto"/>
        <w:rPr>
          <w:sz w:val="28"/>
          <w:szCs w:val="28"/>
          <w:lang w:eastAsia="ru-RU"/>
        </w:rPr>
      </w:pPr>
      <w:r w:rsidRPr="00C54FC7">
        <w:rPr>
          <w:sz w:val="28"/>
          <w:szCs w:val="28"/>
          <w:lang w:eastAsia="ru-RU"/>
        </w:rPr>
        <w:t xml:space="preserve">Для детей в возрасте от 1,5 до 7 лет создано достаточное количество мест в детских садах для 100% охвата, но без гарантии предоставления места в конкретном детском саду. </w:t>
      </w:r>
    </w:p>
    <w:p w:rsidR="00124549" w:rsidRPr="00C54FC7" w:rsidRDefault="00124549" w:rsidP="00F75168">
      <w:pPr>
        <w:spacing w:line="276" w:lineRule="auto"/>
        <w:rPr>
          <w:sz w:val="28"/>
          <w:szCs w:val="28"/>
          <w:lang w:eastAsia="ru-RU"/>
        </w:rPr>
      </w:pPr>
      <w:r w:rsidRPr="00C54FC7">
        <w:rPr>
          <w:sz w:val="28"/>
          <w:szCs w:val="28"/>
          <w:lang w:eastAsia="ru-RU"/>
        </w:rPr>
        <w:t xml:space="preserve">Остается актуальной проблема нехватки мест для детей на территориях новостроек и в приближенных к ним кварталах. Необходимо обеспечить местами в детских садах население микрорайонов новостроек и приближенным к ним кварталов (микрорайон «Северный», 14 А, 16, мкр. «Калина») путем строительства детских садов, открытия дополнительных групп. </w:t>
      </w:r>
    </w:p>
    <w:p w:rsidR="00124549" w:rsidRDefault="00124549" w:rsidP="00F75168">
      <w:pPr>
        <w:spacing w:line="276" w:lineRule="auto"/>
        <w:rPr>
          <w:sz w:val="28"/>
          <w:szCs w:val="28"/>
          <w:lang w:eastAsia="ru-RU"/>
        </w:rPr>
      </w:pPr>
      <w:r w:rsidRPr="00C54FC7">
        <w:rPr>
          <w:sz w:val="28"/>
          <w:szCs w:val="28"/>
          <w:lang w:eastAsia="ru-RU"/>
        </w:rPr>
        <w:t xml:space="preserve">По оценке 2022 года численность детей 1-6 лет может составить </w:t>
      </w:r>
      <w:r w:rsidR="00D51779">
        <w:rPr>
          <w:sz w:val="28"/>
          <w:szCs w:val="28"/>
          <w:lang w:eastAsia="ru-RU"/>
        </w:rPr>
        <w:t>39,9</w:t>
      </w:r>
      <w:r w:rsidRPr="00C54FC7">
        <w:rPr>
          <w:sz w:val="28"/>
          <w:szCs w:val="28"/>
          <w:lang w:eastAsia="ru-RU"/>
        </w:rPr>
        <w:t> тыс. человек</w:t>
      </w:r>
      <w:r w:rsidRPr="00A958D9">
        <w:rPr>
          <w:sz w:val="28"/>
          <w:szCs w:val="28"/>
          <w:lang w:eastAsia="ru-RU"/>
        </w:rPr>
        <w:t xml:space="preserve"> (в том числе </w:t>
      </w:r>
      <w:r w:rsidR="00D51779">
        <w:rPr>
          <w:sz w:val="28"/>
          <w:szCs w:val="28"/>
          <w:lang w:eastAsia="ru-RU"/>
        </w:rPr>
        <w:t>39,7</w:t>
      </w:r>
      <w:r w:rsidRPr="00A958D9">
        <w:rPr>
          <w:sz w:val="28"/>
          <w:szCs w:val="28"/>
          <w:lang w:eastAsia="ru-RU"/>
        </w:rPr>
        <w:t xml:space="preserve"> тыс. человек</w:t>
      </w:r>
      <w:r>
        <w:rPr>
          <w:sz w:val="28"/>
          <w:szCs w:val="28"/>
          <w:lang w:eastAsia="ru-RU"/>
        </w:rPr>
        <w:t xml:space="preserve"> </w:t>
      </w:r>
      <w:r w:rsidRPr="00AD1C5A">
        <w:rPr>
          <w:sz w:val="28"/>
          <w:szCs w:val="28"/>
          <w:lang w:eastAsia="ru-RU"/>
        </w:rPr>
        <w:t>за исключением детей 5-6 лет, обучающихся в школах</w:t>
      </w:r>
      <w:r>
        <w:rPr>
          <w:sz w:val="28"/>
          <w:szCs w:val="28"/>
          <w:lang w:eastAsia="ru-RU"/>
        </w:rPr>
        <w:t>)</w:t>
      </w:r>
      <w:r w:rsidRPr="00C54FC7">
        <w:rPr>
          <w:sz w:val="28"/>
          <w:szCs w:val="28"/>
          <w:lang w:eastAsia="ru-RU"/>
        </w:rPr>
        <w:t xml:space="preserve">, </w:t>
      </w:r>
      <w:r w:rsidRPr="00C71B4A">
        <w:rPr>
          <w:sz w:val="28"/>
          <w:szCs w:val="28"/>
          <w:lang w:eastAsia="ru-RU"/>
        </w:rPr>
        <w:t>что на 3,8 тыс. человек меньше прошлого года (расчет произведен по данным Самарастата о количестве детей в разбивке по возрастным группам)</w:t>
      </w:r>
      <w:r>
        <w:rPr>
          <w:sz w:val="28"/>
          <w:szCs w:val="28"/>
          <w:lang w:eastAsia="ru-RU"/>
        </w:rPr>
        <w:t>.</w:t>
      </w:r>
    </w:p>
    <w:p w:rsidR="00124549" w:rsidRDefault="00124549" w:rsidP="00F75168">
      <w:pPr>
        <w:spacing w:line="276" w:lineRule="auto"/>
        <w:rPr>
          <w:sz w:val="28"/>
          <w:szCs w:val="28"/>
          <w:highlight w:val="yellow"/>
          <w:lang w:eastAsia="ru-RU"/>
        </w:rPr>
      </w:pPr>
      <w:r>
        <w:rPr>
          <w:sz w:val="28"/>
          <w:szCs w:val="28"/>
          <w:lang w:eastAsia="ru-RU"/>
        </w:rPr>
        <w:t>Ч</w:t>
      </w:r>
      <w:r w:rsidRPr="00C54FC7">
        <w:rPr>
          <w:sz w:val="28"/>
          <w:szCs w:val="28"/>
          <w:lang w:eastAsia="ru-RU"/>
        </w:rPr>
        <w:t xml:space="preserve">исленность детей в дошкольных образовательных учреждениях </w:t>
      </w:r>
      <w:r>
        <w:rPr>
          <w:sz w:val="28"/>
          <w:szCs w:val="28"/>
          <w:lang w:eastAsia="ru-RU"/>
        </w:rPr>
        <w:t xml:space="preserve">в 2022 году составит </w:t>
      </w:r>
      <w:r w:rsidRPr="00C54FC7">
        <w:rPr>
          <w:sz w:val="28"/>
          <w:szCs w:val="28"/>
          <w:lang w:eastAsia="ru-RU"/>
        </w:rPr>
        <w:t>33,</w:t>
      </w:r>
      <w:r w:rsidR="00D51779">
        <w:rPr>
          <w:sz w:val="28"/>
          <w:szCs w:val="28"/>
          <w:lang w:eastAsia="ru-RU"/>
        </w:rPr>
        <w:t>5</w:t>
      </w:r>
      <w:r>
        <w:rPr>
          <w:sz w:val="28"/>
          <w:szCs w:val="28"/>
          <w:lang w:eastAsia="ru-RU"/>
        </w:rPr>
        <w:t> </w:t>
      </w:r>
      <w:r w:rsidRPr="00C54FC7">
        <w:rPr>
          <w:sz w:val="28"/>
          <w:szCs w:val="28"/>
          <w:lang w:eastAsia="ru-RU"/>
        </w:rPr>
        <w:t>тыс. человек</w:t>
      </w:r>
      <w:r>
        <w:rPr>
          <w:sz w:val="28"/>
          <w:szCs w:val="28"/>
          <w:lang w:eastAsia="ru-RU"/>
        </w:rPr>
        <w:t xml:space="preserve">, что на </w:t>
      </w:r>
      <w:r w:rsidR="00D51779">
        <w:rPr>
          <w:sz w:val="28"/>
          <w:szCs w:val="28"/>
          <w:lang w:eastAsia="ru-RU"/>
        </w:rPr>
        <w:t>2,6</w:t>
      </w:r>
      <w:r>
        <w:rPr>
          <w:sz w:val="28"/>
          <w:szCs w:val="28"/>
          <w:lang w:eastAsia="ru-RU"/>
        </w:rPr>
        <w:t xml:space="preserve">% ниже относительно предыдущего года, </w:t>
      </w:r>
      <w:r w:rsidRPr="00AD1C5A">
        <w:rPr>
          <w:sz w:val="28"/>
          <w:szCs w:val="28"/>
          <w:lang w:eastAsia="ru-RU"/>
        </w:rPr>
        <w:t>в связи со снижением числе</w:t>
      </w:r>
      <w:r>
        <w:rPr>
          <w:sz w:val="28"/>
          <w:szCs w:val="28"/>
          <w:lang w:eastAsia="ru-RU"/>
        </w:rPr>
        <w:t>нности детей в возрасте 1-6 лет.</w:t>
      </w:r>
    </w:p>
    <w:p w:rsidR="00124549" w:rsidRPr="00AD1C5A" w:rsidRDefault="00124549" w:rsidP="00F75168">
      <w:pPr>
        <w:spacing w:line="276" w:lineRule="auto"/>
        <w:rPr>
          <w:sz w:val="28"/>
          <w:szCs w:val="28"/>
          <w:lang w:eastAsia="ru-RU"/>
        </w:rPr>
      </w:pPr>
      <w:r w:rsidRPr="00A958D9">
        <w:rPr>
          <w:sz w:val="28"/>
          <w:szCs w:val="28"/>
          <w:lang w:eastAsia="ru-RU"/>
        </w:rPr>
        <w:t>В 2022 году количество мест для детей 1-6 лет в дошкольных учреждениях незначительно увеличится относительно 2021 года и составит 40,</w:t>
      </w:r>
      <w:r w:rsidR="00D51779">
        <w:rPr>
          <w:sz w:val="28"/>
          <w:szCs w:val="28"/>
          <w:lang w:eastAsia="ru-RU"/>
        </w:rPr>
        <w:t xml:space="preserve">4 </w:t>
      </w:r>
      <w:r w:rsidRPr="00A958D9">
        <w:rPr>
          <w:sz w:val="28"/>
          <w:szCs w:val="28"/>
          <w:lang w:eastAsia="ru-RU"/>
        </w:rPr>
        <w:t>тыс. единиц.</w:t>
      </w:r>
    </w:p>
    <w:p w:rsidR="00124549" w:rsidRPr="00C71B4A" w:rsidRDefault="00124549" w:rsidP="00F75168">
      <w:pPr>
        <w:spacing w:line="276" w:lineRule="auto"/>
        <w:rPr>
          <w:sz w:val="28"/>
          <w:szCs w:val="28"/>
          <w:lang w:eastAsia="ru-RU"/>
        </w:rPr>
      </w:pPr>
      <w:r w:rsidRPr="0074703E">
        <w:rPr>
          <w:sz w:val="28"/>
          <w:szCs w:val="28"/>
          <w:lang w:eastAsia="ru-RU"/>
        </w:rPr>
        <w:t xml:space="preserve">Таким образом, </w:t>
      </w:r>
      <w:r>
        <w:rPr>
          <w:sz w:val="28"/>
          <w:szCs w:val="28"/>
          <w:lang w:eastAsia="ru-RU"/>
        </w:rPr>
        <w:t>о</w:t>
      </w:r>
      <w:r w:rsidRPr="00C71B4A">
        <w:rPr>
          <w:sz w:val="28"/>
          <w:szCs w:val="28"/>
          <w:lang w:eastAsia="ru-RU"/>
        </w:rPr>
        <w:t xml:space="preserve">беспеченность детей в возрасте 1-6 лет местами в дошкольных образовательных учреждениях составит в 2022 году </w:t>
      </w:r>
      <w:r w:rsidR="00D51779">
        <w:rPr>
          <w:sz w:val="28"/>
          <w:szCs w:val="28"/>
          <w:lang w:eastAsia="ru-RU"/>
        </w:rPr>
        <w:t>0,984</w:t>
      </w:r>
      <w:r w:rsidRPr="00C71B4A">
        <w:rPr>
          <w:sz w:val="28"/>
          <w:szCs w:val="28"/>
          <w:lang w:eastAsia="ru-RU"/>
        </w:rPr>
        <w:t xml:space="preserve"> человек на место, за исключением детей 5-6 лет, обучающихся в школах (в 202</w:t>
      </w:r>
      <w:r>
        <w:rPr>
          <w:sz w:val="28"/>
          <w:szCs w:val="28"/>
          <w:lang w:eastAsia="ru-RU"/>
        </w:rPr>
        <w:t>1</w:t>
      </w:r>
      <w:r w:rsidRPr="00C71B4A">
        <w:rPr>
          <w:sz w:val="28"/>
          <w:szCs w:val="28"/>
          <w:lang w:eastAsia="ru-RU"/>
        </w:rPr>
        <w:t xml:space="preserve"> году – </w:t>
      </w:r>
      <w:r>
        <w:rPr>
          <w:sz w:val="28"/>
          <w:szCs w:val="28"/>
          <w:lang w:eastAsia="ru-RU"/>
        </w:rPr>
        <w:t>1,08</w:t>
      </w:r>
      <w:r w:rsidR="00D51779">
        <w:rPr>
          <w:sz w:val="28"/>
          <w:szCs w:val="28"/>
          <w:lang w:eastAsia="ru-RU"/>
        </w:rPr>
        <w:t>2</w:t>
      </w:r>
      <w:r w:rsidRPr="00C71B4A">
        <w:rPr>
          <w:sz w:val="28"/>
          <w:szCs w:val="28"/>
          <w:lang w:eastAsia="ru-RU"/>
        </w:rPr>
        <w:t xml:space="preserve">), в связи со снижением численности детей данной возрастной категории. </w:t>
      </w:r>
    </w:p>
    <w:p w:rsidR="00124549" w:rsidRPr="0074703E" w:rsidRDefault="00124549" w:rsidP="00F75168">
      <w:pPr>
        <w:spacing w:line="276" w:lineRule="auto"/>
        <w:rPr>
          <w:sz w:val="28"/>
          <w:szCs w:val="28"/>
          <w:lang w:eastAsia="ru-RU"/>
        </w:rPr>
      </w:pPr>
      <w:r w:rsidRPr="0074703E">
        <w:rPr>
          <w:sz w:val="28"/>
          <w:szCs w:val="28"/>
          <w:lang w:eastAsia="ru-RU"/>
        </w:rPr>
        <w:t xml:space="preserve">Количество учащихся в муниципальных бюджетных общеобразовательных учреждениях по состоянию на 31.05.2022 составляет 73,5 тыс. человек, что на 1,8% больше количества учащихся по состоянию на 31.05.2021. </w:t>
      </w:r>
    </w:p>
    <w:p w:rsidR="00124549" w:rsidRPr="00320380" w:rsidRDefault="00124549" w:rsidP="00F75168">
      <w:pPr>
        <w:suppressAutoHyphens w:val="0"/>
        <w:spacing w:line="276" w:lineRule="auto"/>
        <w:rPr>
          <w:sz w:val="28"/>
          <w:szCs w:val="28"/>
          <w:lang w:eastAsia="ru-RU"/>
        </w:rPr>
      </w:pPr>
      <w:r w:rsidRPr="0074703E">
        <w:rPr>
          <w:sz w:val="28"/>
          <w:szCs w:val="28"/>
          <w:lang w:eastAsia="ru-RU"/>
        </w:rPr>
        <w:t xml:space="preserve">По оценке, в 2022 году численность детей 7-17 лет увеличится на 2,7% и </w:t>
      </w:r>
      <w:r w:rsidRPr="00472987">
        <w:rPr>
          <w:sz w:val="28"/>
          <w:szCs w:val="28"/>
          <w:lang w:eastAsia="ru-RU"/>
        </w:rPr>
        <w:t>составит 88,</w:t>
      </w:r>
      <w:r w:rsidR="00D51779">
        <w:rPr>
          <w:sz w:val="28"/>
          <w:szCs w:val="28"/>
          <w:lang w:eastAsia="ru-RU"/>
        </w:rPr>
        <w:t>6</w:t>
      </w:r>
      <w:r w:rsidRPr="00472987">
        <w:rPr>
          <w:sz w:val="28"/>
          <w:szCs w:val="28"/>
          <w:lang w:eastAsia="ru-RU"/>
        </w:rPr>
        <w:t xml:space="preserve"> тыс. человек. Доля обучающихся в первую смену по оценке 2022 года снизится на 0,</w:t>
      </w:r>
      <w:r>
        <w:rPr>
          <w:sz w:val="28"/>
          <w:szCs w:val="28"/>
          <w:lang w:eastAsia="ru-RU"/>
        </w:rPr>
        <w:t>6</w:t>
      </w:r>
      <w:r w:rsidRPr="00472987">
        <w:rPr>
          <w:sz w:val="28"/>
          <w:szCs w:val="28"/>
          <w:lang w:eastAsia="ru-RU"/>
        </w:rPr>
        <w:t xml:space="preserve"> процентных пункта относительно 2021 года и составит 95,8% в связи со спадом численности детей в начальной школе.</w:t>
      </w:r>
    </w:p>
    <w:p w:rsidR="00124549" w:rsidRPr="00320380" w:rsidRDefault="00124549" w:rsidP="00F75168">
      <w:pPr>
        <w:shd w:val="clear" w:color="auto" w:fill="FFFFFF"/>
        <w:spacing w:line="276" w:lineRule="auto"/>
        <w:rPr>
          <w:sz w:val="28"/>
          <w:szCs w:val="28"/>
          <w:lang w:eastAsia="ru-RU"/>
        </w:rPr>
      </w:pPr>
      <w:r w:rsidRPr="00320380">
        <w:rPr>
          <w:sz w:val="28"/>
          <w:szCs w:val="28"/>
          <w:lang w:eastAsia="ru-RU"/>
        </w:rPr>
        <w:t xml:space="preserve">Ключевыми задачами системы дополнительного образования  городского округа Тольятти являются формирование технологического мышления, воспитание будущих инженерных кадров, создание условий для активизации исследовательской и проектной деятельности обучающихся, повышения интереса к  изучению ими естественных, физико-математических и технических наук, создание современной инфраструктуры  для занятия  научно-техническим творчеством, организации тематического отдыха и сетевого проектного взаимодействия. Особую актуальность приобретает решение задач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w:t>
      </w:r>
    </w:p>
    <w:p w:rsidR="00124549" w:rsidRPr="00566D21" w:rsidRDefault="00124549" w:rsidP="00F75168">
      <w:pPr>
        <w:pStyle w:val="afb"/>
        <w:numPr>
          <w:ilvl w:val="0"/>
          <w:numId w:val="5"/>
        </w:numPr>
        <w:spacing w:after="160" w:line="276" w:lineRule="auto"/>
        <w:ind w:left="0" w:firstLine="709"/>
        <w:contextualSpacing/>
        <w:rPr>
          <w:sz w:val="28"/>
          <w:szCs w:val="28"/>
          <w:lang w:eastAsia="ru-RU"/>
        </w:rPr>
      </w:pPr>
      <w:r w:rsidRPr="00566D21">
        <w:rPr>
          <w:sz w:val="28"/>
          <w:szCs w:val="28"/>
          <w:lang w:eastAsia="ru-RU"/>
        </w:rPr>
        <w:t>Количество обучающихся 12 муниципальных образовательных учреждений и 16 структурных подразделений дополнительного образования муниципальных бюджетных учреждений в возрасте от 5 до 18 лет составляет:</w:t>
      </w:r>
    </w:p>
    <w:p w:rsidR="00124549" w:rsidRPr="00566D21" w:rsidRDefault="00124549" w:rsidP="00F75168">
      <w:pPr>
        <w:pStyle w:val="afb"/>
        <w:numPr>
          <w:ilvl w:val="0"/>
          <w:numId w:val="5"/>
        </w:numPr>
        <w:shd w:val="clear" w:color="auto" w:fill="FFFFFF"/>
        <w:suppressAutoHyphens w:val="0"/>
        <w:spacing w:after="160" w:line="276" w:lineRule="auto"/>
        <w:ind w:left="0" w:firstLine="709"/>
        <w:contextualSpacing/>
        <w:rPr>
          <w:sz w:val="28"/>
          <w:szCs w:val="28"/>
          <w:lang w:eastAsia="ru-RU"/>
        </w:rPr>
      </w:pPr>
      <w:r w:rsidRPr="00566D21">
        <w:rPr>
          <w:sz w:val="28"/>
          <w:szCs w:val="28"/>
          <w:lang w:eastAsia="ru-RU"/>
        </w:rPr>
        <w:t>- в МБОУ ДО – 48,3 тыс. человек (по муниципальному заданию);</w:t>
      </w:r>
    </w:p>
    <w:p w:rsidR="00124549" w:rsidRPr="00566D21" w:rsidRDefault="00124549" w:rsidP="00F75168">
      <w:pPr>
        <w:pStyle w:val="afb"/>
        <w:numPr>
          <w:ilvl w:val="0"/>
          <w:numId w:val="5"/>
        </w:numPr>
        <w:shd w:val="clear" w:color="auto" w:fill="FFFFFF"/>
        <w:suppressAutoHyphens w:val="0"/>
        <w:spacing w:after="160" w:line="276" w:lineRule="auto"/>
        <w:ind w:left="0" w:firstLine="709"/>
        <w:contextualSpacing/>
        <w:rPr>
          <w:sz w:val="28"/>
          <w:szCs w:val="28"/>
          <w:lang w:eastAsia="ru-RU"/>
        </w:rPr>
      </w:pPr>
      <w:r w:rsidRPr="00566D21">
        <w:rPr>
          <w:sz w:val="28"/>
          <w:szCs w:val="28"/>
          <w:lang w:eastAsia="ru-RU"/>
        </w:rPr>
        <w:t>- в структурных подразделениях дополнительного образования МБУ –                          11,1 тыс. человек.</w:t>
      </w:r>
    </w:p>
    <w:p w:rsidR="00124549" w:rsidRPr="00566D21" w:rsidRDefault="00124549" w:rsidP="00F75168">
      <w:pPr>
        <w:pStyle w:val="afb"/>
        <w:numPr>
          <w:ilvl w:val="0"/>
          <w:numId w:val="5"/>
        </w:numPr>
        <w:spacing w:after="160" w:line="276" w:lineRule="auto"/>
        <w:ind w:left="0" w:firstLine="709"/>
        <w:contextualSpacing/>
        <w:rPr>
          <w:sz w:val="28"/>
          <w:szCs w:val="28"/>
          <w:lang w:eastAsia="ru-RU"/>
        </w:rPr>
      </w:pPr>
      <w:r w:rsidRPr="00566D21">
        <w:rPr>
          <w:sz w:val="28"/>
          <w:szCs w:val="28"/>
          <w:lang w:eastAsia="ru-RU"/>
        </w:rPr>
        <w:t>В 2022 году количество обучающихся в муниципальных образовательных учреждениях и структурных подразделениях дополнительного образования муниципальных бюджетных учреждений сохранится на уровне 2020-2021 года.</w:t>
      </w:r>
    </w:p>
    <w:p w:rsidR="00124549" w:rsidRPr="00566D21" w:rsidRDefault="00124549" w:rsidP="00F75168">
      <w:pPr>
        <w:pStyle w:val="afb"/>
        <w:numPr>
          <w:ilvl w:val="0"/>
          <w:numId w:val="5"/>
        </w:numPr>
        <w:spacing w:line="276" w:lineRule="auto"/>
        <w:ind w:left="0" w:firstLine="709"/>
        <w:contextualSpacing/>
        <w:rPr>
          <w:sz w:val="28"/>
          <w:szCs w:val="28"/>
          <w:lang w:eastAsia="ru-RU"/>
        </w:rPr>
      </w:pPr>
      <w:r w:rsidRPr="00566D21">
        <w:rPr>
          <w:sz w:val="28"/>
          <w:szCs w:val="28"/>
          <w:lang w:eastAsia="ru-RU"/>
        </w:rPr>
        <w:t xml:space="preserve">В тольяттинском детском технопарке «Кванториум - 63 регион» обучается 1,0 тыс. человек. В сентябре 2022 года планируется принять еще около 1,0 тыс. школьников для обучения в технопарке. </w:t>
      </w:r>
    </w:p>
    <w:p w:rsidR="00124549" w:rsidRPr="001D4862" w:rsidRDefault="00124549" w:rsidP="00F75168">
      <w:pPr>
        <w:widowControl w:val="0"/>
        <w:numPr>
          <w:ilvl w:val="0"/>
          <w:numId w:val="5"/>
        </w:numPr>
        <w:spacing w:line="276" w:lineRule="auto"/>
        <w:ind w:left="0" w:firstLine="709"/>
        <w:rPr>
          <w:sz w:val="28"/>
          <w:szCs w:val="28"/>
          <w:highlight w:val="yellow"/>
          <w:lang w:eastAsia="ru-RU"/>
        </w:rPr>
      </w:pPr>
      <w:r w:rsidRPr="007559C5">
        <w:rPr>
          <w:sz w:val="28"/>
          <w:szCs w:val="28"/>
          <w:lang w:eastAsia="ru-RU"/>
        </w:rPr>
        <w:t xml:space="preserve">Кроме того, с 1 сентября 2021 года начал функционировать центр цифрового образования «IT-куб» - образовательной площадки для развития IT-творчества детей и подростков, оснащенной самым современным </w:t>
      </w:r>
      <w:r w:rsidRPr="00E85602">
        <w:rPr>
          <w:sz w:val="28"/>
          <w:szCs w:val="28"/>
          <w:lang w:eastAsia="ru-RU"/>
        </w:rPr>
        <w:t>оборудованием (количество обучающихся</w:t>
      </w:r>
      <w:r>
        <w:rPr>
          <w:sz w:val="28"/>
          <w:szCs w:val="28"/>
          <w:lang w:eastAsia="ru-RU"/>
        </w:rPr>
        <w:t xml:space="preserve"> в 2022-2023 учебном году </w:t>
      </w:r>
      <w:r w:rsidRPr="00E85602">
        <w:rPr>
          <w:sz w:val="28"/>
          <w:szCs w:val="28"/>
          <w:lang w:eastAsia="ru-RU"/>
        </w:rPr>
        <w:t>– 530 человек).</w:t>
      </w:r>
    </w:p>
    <w:p w:rsidR="00124549" w:rsidRPr="00566D21" w:rsidRDefault="00124549" w:rsidP="00F75168">
      <w:pPr>
        <w:pStyle w:val="afb"/>
        <w:numPr>
          <w:ilvl w:val="0"/>
          <w:numId w:val="5"/>
        </w:numPr>
        <w:spacing w:line="276" w:lineRule="auto"/>
        <w:ind w:left="0" w:firstLine="709"/>
        <w:contextualSpacing/>
        <w:rPr>
          <w:sz w:val="28"/>
          <w:szCs w:val="28"/>
          <w:lang w:eastAsia="ru-RU"/>
        </w:rPr>
      </w:pPr>
      <w:r w:rsidRPr="00566D21">
        <w:rPr>
          <w:sz w:val="28"/>
          <w:szCs w:val="28"/>
          <w:lang w:eastAsia="ru-RU"/>
        </w:rPr>
        <w:t>Охват дополнительным образованием детей в возрасте от 5 до 18 лет в 2022 году сохранится на уровне 2021 года и составит 87,0%.</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 системе образования городского округа в 2022 году осуществляют деятельность 9,5 тыс. человек, из них педагогических работников – 6,1 тыс. человек (в</w:t>
      </w:r>
      <w:r w:rsidR="00F75168" w:rsidRPr="00F75168">
        <w:rPr>
          <w:sz w:val="28"/>
          <w:szCs w:val="28"/>
          <w:lang w:eastAsia="ru-RU"/>
        </w:rPr>
        <w:t xml:space="preserve"> </w:t>
      </w:r>
      <w:r w:rsidR="00F75168">
        <w:rPr>
          <w:sz w:val="28"/>
          <w:szCs w:val="28"/>
          <w:lang w:eastAsia="ru-RU"/>
        </w:rPr>
        <w:t>том числе</w:t>
      </w:r>
      <w:r w:rsidRPr="00444AC7">
        <w:rPr>
          <w:sz w:val="28"/>
          <w:szCs w:val="28"/>
          <w:lang w:eastAsia="ru-RU"/>
        </w:rPr>
        <w:t xml:space="preserve"> в образовательных учреждениях – более 3,7 тыс. человек; в дошкольных образовательных учреждениях – 2,0 тыс. человек; в учреждениях дополнительного образования и др</w:t>
      </w:r>
      <w:r w:rsidR="00F75168">
        <w:rPr>
          <w:sz w:val="28"/>
          <w:szCs w:val="28"/>
          <w:lang w:eastAsia="ru-RU"/>
        </w:rPr>
        <w:t>угих</w:t>
      </w:r>
      <w:r w:rsidRPr="00444AC7">
        <w:rPr>
          <w:sz w:val="28"/>
          <w:szCs w:val="28"/>
          <w:lang w:eastAsia="ru-RU"/>
        </w:rPr>
        <w:t xml:space="preserve"> – 326 человек).</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По состоянию на 30.06.2022 в системе образования </w:t>
      </w:r>
      <w:r w:rsidRPr="00FB5BA9">
        <w:rPr>
          <w:sz w:val="28"/>
          <w:szCs w:val="28"/>
          <w:lang w:eastAsia="ru-RU"/>
        </w:rPr>
        <w:t>имеются 387</w:t>
      </w:r>
      <w:r w:rsidRPr="00444AC7">
        <w:rPr>
          <w:sz w:val="28"/>
          <w:szCs w:val="28"/>
          <w:lang w:eastAsia="ru-RU"/>
        </w:rPr>
        <w:t xml:space="preserve"> текущих педагогических вакансии: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в общеобразовательных учреждениях: 351 ставка (учителя русского языка, английского языка, математики, начальных классов, информатики, физики, биологии, химии);</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в дошкольных учреждениях: 15 ставки (воспитатель, музыкальный руководитель);</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в учреждениях дополнительного образования: 21 ставок (педагог дополнительного образования).</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Вместе с тем, реализация образовательных программ осуществлялась в полном объеме. Ставка педагогической работы учителя составляет 18 часов и вакантные ставки велись работающими педагогами за счет увеличения педагогической нагрузки. Средняя нагрузка педагогических работников составляла 1,8 ставки.</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В целях решения вопроса кадрового обеспечения отрасли выстроена работа по следующим направлениям.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 рамках программы «Дуальное обучение» образовательные учреждения города сотрудничают с ГАПОУ «Тольяттинский социально-педагогический колледж», Колледж гуманитарных и социально-педагогических дисциплин имени Святителя Алексия митрополита Московского, ГБПОУ «Гуманитарный колледж г. Сызрани», ФГБОУ ВО «Самарский государственный социально-педагогический университет», ФГБОУ ПО «УлГПУ им. И.Н. Ульянова», ЧУПО «ТЭТК». Подготовка рабочих кадров на основе дуального обучения направлена на достижение соответствующего требованиям регионального рынка труда качества профессиональной подготовки, развития профессионального образования, формирование профессионального партнерства и механизмов взаимодействия между профессиональными образовательными организациями и работодателями. Программа предусматривает возможное дальнейшее трудоустройство студентов в учреждении.</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На всех уровнях образования города наблюдается тенденция снижения доли педагогов до 35 лет на фоне стабильного показателя доли педагогов пенсионного возраста. Подобная тенденция характерна для всех субъектов Российской Федерации – молодежь уезжает из регионов в мегаполисы.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Вопрос поддержки молодых педагогов через наставничество в образовании рассматривается в национальном проекте «Образование» (включая федеральные проекты «Современная школа», «Успех каждого ребенка», «Учитель будущего», «Социальные лифты для каждого», «Молодые профессионалы»).</w:t>
      </w:r>
    </w:p>
    <w:p w:rsidR="00124549" w:rsidRPr="00B108FE" w:rsidRDefault="00124549" w:rsidP="00F75168">
      <w:pPr>
        <w:shd w:val="clear" w:color="auto" w:fill="FFFFFF"/>
        <w:spacing w:line="276" w:lineRule="auto"/>
        <w:rPr>
          <w:sz w:val="28"/>
          <w:szCs w:val="28"/>
          <w:lang w:eastAsia="ru-RU"/>
        </w:rPr>
      </w:pPr>
      <w:r w:rsidRPr="00444AC7">
        <w:rPr>
          <w:sz w:val="28"/>
          <w:szCs w:val="28"/>
          <w:lang w:eastAsia="ru-RU"/>
        </w:rPr>
        <w:t xml:space="preserve">С целью привлечения молодых специалистов в рамках муниципальной </w:t>
      </w:r>
      <w:r w:rsidRPr="00B108FE">
        <w:rPr>
          <w:sz w:val="28"/>
          <w:szCs w:val="28"/>
          <w:lang w:eastAsia="ru-RU"/>
        </w:rPr>
        <w:t xml:space="preserve">программы </w:t>
      </w:r>
      <w:r w:rsidR="00B108FE" w:rsidRPr="00444AC7">
        <w:rPr>
          <w:sz w:val="28"/>
          <w:szCs w:val="28"/>
          <w:lang w:eastAsia="ru-RU"/>
        </w:rPr>
        <w:t xml:space="preserve">«Развитие системы образования городского округа Тольятти на 2021-2027 годы» </w:t>
      </w:r>
      <w:r w:rsidR="00B108FE">
        <w:rPr>
          <w:sz w:val="28"/>
          <w:szCs w:val="28"/>
          <w:lang w:eastAsia="ru-RU"/>
        </w:rPr>
        <w:t xml:space="preserve">за счет средств бюджетов всех уровней </w:t>
      </w:r>
      <w:r w:rsidRPr="00B108FE">
        <w:rPr>
          <w:sz w:val="28"/>
          <w:szCs w:val="28"/>
          <w:lang w:eastAsia="ru-RU"/>
        </w:rPr>
        <w:t>предусмотрены меры по поддержке педагогических работников:</w:t>
      </w:r>
      <w:r w:rsidR="00B108FE">
        <w:rPr>
          <w:sz w:val="28"/>
          <w:szCs w:val="28"/>
          <w:lang w:eastAsia="ru-RU"/>
        </w:rPr>
        <w:t xml:space="preserve"> </w:t>
      </w:r>
    </w:p>
    <w:p w:rsidR="00124549" w:rsidRPr="00436AB4" w:rsidRDefault="00124549" w:rsidP="00F75168">
      <w:pPr>
        <w:shd w:val="clear" w:color="auto" w:fill="FFFFFF"/>
        <w:spacing w:line="276" w:lineRule="auto"/>
        <w:rPr>
          <w:sz w:val="28"/>
          <w:szCs w:val="28"/>
          <w:lang w:eastAsia="ru-RU"/>
        </w:rPr>
      </w:pPr>
      <w:r w:rsidRPr="00436AB4">
        <w:rPr>
          <w:sz w:val="28"/>
          <w:szCs w:val="28"/>
          <w:lang w:eastAsia="ru-RU"/>
        </w:rPr>
        <w:t>- ежемесячные выплаты за выполнение функций классного руководителя;</w:t>
      </w:r>
    </w:p>
    <w:p w:rsidR="00124549" w:rsidRPr="00436AB4" w:rsidRDefault="00124549" w:rsidP="00F75168">
      <w:pPr>
        <w:shd w:val="clear" w:color="auto" w:fill="FFFFFF"/>
        <w:spacing w:line="276" w:lineRule="auto"/>
        <w:rPr>
          <w:sz w:val="28"/>
          <w:szCs w:val="28"/>
          <w:lang w:eastAsia="ru-RU"/>
        </w:rPr>
      </w:pPr>
      <w:r w:rsidRPr="00436AB4">
        <w:rPr>
          <w:sz w:val="28"/>
          <w:szCs w:val="28"/>
          <w:lang w:eastAsia="ru-RU"/>
        </w:rPr>
        <w:t>- ежемесячные выплаты молодым специалистам;</w:t>
      </w:r>
    </w:p>
    <w:p w:rsidR="00124549" w:rsidRPr="00436AB4" w:rsidRDefault="00124549" w:rsidP="00F75168">
      <w:pPr>
        <w:shd w:val="clear" w:color="auto" w:fill="FFFFFF"/>
        <w:spacing w:line="276" w:lineRule="auto"/>
        <w:rPr>
          <w:sz w:val="28"/>
          <w:szCs w:val="28"/>
          <w:lang w:eastAsia="ru-RU"/>
        </w:rPr>
      </w:pPr>
      <w:r w:rsidRPr="00436AB4">
        <w:rPr>
          <w:sz w:val="28"/>
          <w:szCs w:val="28"/>
          <w:lang w:eastAsia="ru-RU"/>
        </w:rPr>
        <w:t>- ежемесячные доплаты матерям (или другим родственникам, фактически осуществляющим уход за ребенком), находящимся в отпусках по уходу за ребенком;</w:t>
      </w:r>
    </w:p>
    <w:p w:rsidR="00124549" w:rsidRPr="00436AB4" w:rsidRDefault="00124549" w:rsidP="00F75168">
      <w:pPr>
        <w:shd w:val="clear" w:color="auto" w:fill="FFFFFF"/>
        <w:spacing w:line="276" w:lineRule="auto"/>
        <w:rPr>
          <w:sz w:val="28"/>
          <w:szCs w:val="28"/>
          <w:lang w:eastAsia="ru-RU"/>
        </w:rPr>
      </w:pPr>
      <w:r w:rsidRPr="00436AB4">
        <w:rPr>
          <w:sz w:val="28"/>
          <w:szCs w:val="28"/>
          <w:lang w:eastAsia="ru-RU"/>
        </w:rPr>
        <w:t>- компенсации расходов по оплате жилого помещения, занимаемого по договору найма;</w:t>
      </w:r>
    </w:p>
    <w:p w:rsidR="00124549" w:rsidRPr="00436AB4" w:rsidRDefault="00124549" w:rsidP="00F75168">
      <w:pPr>
        <w:shd w:val="clear" w:color="auto" w:fill="FFFFFF"/>
        <w:spacing w:line="276" w:lineRule="auto"/>
        <w:rPr>
          <w:sz w:val="28"/>
          <w:szCs w:val="28"/>
          <w:lang w:eastAsia="ru-RU"/>
        </w:rPr>
      </w:pPr>
      <w:r w:rsidRPr="00436AB4">
        <w:rPr>
          <w:sz w:val="28"/>
          <w:szCs w:val="28"/>
          <w:lang w:eastAsia="ru-RU"/>
        </w:rPr>
        <w:t>-  ежемесячные выплаты педагогам дошкольных учреждений;</w:t>
      </w:r>
    </w:p>
    <w:p w:rsidR="00124549" w:rsidRPr="00436AB4" w:rsidRDefault="00124549" w:rsidP="00F75168">
      <w:pPr>
        <w:shd w:val="clear" w:color="auto" w:fill="FFFFFF"/>
        <w:spacing w:line="276" w:lineRule="auto"/>
        <w:rPr>
          <w:sz w:val="28"/>
          <w:szCs w:val="28"/>
          <w:lang w:eastAsia="ru-RU"/>
        </w:rPr>
      </w:pPr>
      <w:r w:rsidRPr="00436AB4">
        <w:rPr>
          <w:sz w:val="28"/>
          <w:szCs w:val="28"/>
          <w:lang w:eastAsia="ru-RU"/>
        </w:rPr>
        <w:t>- ежемесячные выплаты педагогам учреждений дополнительного образования.</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В целях </w:t>
      </w:r>
      <w:r w:rsidR="00436AB4">
        <w:rPr>
          <w:sz w:val="28"/>
          <w:szCs w:val="28"/>
          <w:lang w:eastAsia="ru-RU"/>
        </w:rPr>
        <w:t>повышения статуса учителя в сов</w:t>
      </w:r>
      <w:r w:rsidRPr="00444AC7">
        <w:rPr>
          <w:sz w:val="28"/>
          <w:szCs w:val="28"/>
          <w:lang w:eastAsia="ru-RU"/>
        </w:rPr>
        <w:t>рем</w:t>
      </w:r>
      <w:r w:rsidR="00436AB4">
        <w:rPr>
          <w:sz w:val="28"/>
          <w:szCs w:val="28"/>
          <w:lang w:eastAsia="ru-RU"/>
        </w:rPr>
        <w:t>е</w:t>
      </w:r>
      <w:r w:rsidRPr="00444AC7">
        <w:rPr>
          <w:sz w:val="28"/>
          <w:szCs w:val="28"/>
          <w:lang w:eastAsia="ru-RU"/>
        </w:rPr>
        <w:t xml:space="preserve">нном обществе с 1 сентября 2021 года на базе школы № 70 и гимназии № 39 открыты два профильных педагогических класса. В педагогических классах школьники знакомятся с особенностями работы учителя, получают подготовку психолого-педагогической направленности.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В образовательных учреждениях городского округа Тольятти развит институт наставничества. Эффективность системы наставничества помогает руководителям образовательных учреждений, педагогам-наставникам быстро и качественно решать задачи профессионального становления молодых учителей, включать их в проектирование своего развития, оказывать помощь в самоорганизации, самоанализе своего развития, повышать их профессиональную компетентность.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За молодыми педагогами, не имеющими педагогического стажа работы в образовательных организациях и впервые принятыми на педагогическую должность, закрепляется наставник, который подбирает из наиболее подготовленных педагогов, обладающих высоким уровнем профессиональной подготовки, коммуникативными навыками и гибкостью в общении, имеющих опыт воспитательной и методической работы, стабильные показатели в работе. Наставничеством охвачены 100% педагогов Тольятти.</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С целью аккумулирования лучших педагогических практик, распространения педагогического опыта, а также методической поддержки начинающих педагогов в образовательной среде города работают 16 сетевых методических объединений по всем направлениям образовательной деятельности – от дошкольного образования до преподавания отдельных предметов в общеобразовательных учреждениях.</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В целях омоложения руководящих кадров общеобразовательных учреждений, обеспечения успешной профессиональной адаптации начинающих руководителей и заместителей руководителей в городском округе Тольятти запущен проект </w:t>
      </w:r>
      <w:bookmarkStart w:id="13" w:name="_Hlk86305449"/>
      <w:r w:rsidRPr="00444AC7">
        <w:rPr>
          <w:sz w:val="28"/>
          <w:szCs w:val="28"/>
          <w:lang w:eastAsia="ru-RU"/>
        </w:rPr>
        <w:t>«Менторство как эффективный ресурс профессионального становления административных команд образовательных учреждений»</w:t>
      </w:r>
      <w:bookmarkEnd w:id="13"/>
      <w:r w:rsidRPr="00444AC7">
        <w:rPr>
          <w:sz w:val="28"/>
          <w:szCs w:val="28"/>
          <w:lang w:eastAsia="ru-RU"/>
        </w:rPr>
        <w:t>.</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Реализация проекта планируется в 13-ти тольяттинских школах в период с августа 2021 по сентябрь 2023 года. По итогам реализации проекта планируется обеспечить успешную профессиональную адаптацию 80-ти процентов начинающих руководителей и их заместителей.</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Для решения проблемы кадрового обеспечения общеобразовательных учреждений в Самарской области при содействии Губернатора и министра образования и науки Самарской области в 2022 году увеличено количество бюджетных мест для абитуриентов, поступающих в высшие образовательные учреждения на педагогические специальности.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Так, в 2022 году АНО ВО «Поволжская академия образования и искусств имени Святителя Алексия, митрополита Московского» предоставила возможность пройти обучение по программе целевого обучения 100 абитуриентам, поступающим на обучение по образовательным программам (бакалавриат - 80 человек, магистратура 20 - человек).</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Кроме того, в 2022 году 10 выпускников общеобразовательных учреждений города заключили договоры о целевом обучении в ФГБОУ ВО «Самарский государственный социально-педагогический университет» по образовательным программам высшего образования по следующим</w:t>
      </w:r>
      <w:r>
        <w:rPr>
          <w:sz w:val="28"/>
          <w:szCs w:val="28"/>
          <w:lang w:eastAsia="ru-RU"/>
        </w:rPr>
        <w:t xml:space="preserve"> направлениям: иностранный язык; история и обществознание</w:t>
      </w:r>
      <w:r w:rsidRPr="00444AC7">
        <w:rPr>
          <w:sz w:val="28"/>
          <w:szCs w:val="28"/>
          <w:lang w:eastAsia="ru-RU"/>
        </w:rPr>
        <w:t>; русский язык и литература; логопедия; математика и физика; психология образования; дошкольное и начальное образование.</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Еще одной мерой, призванной стимулировать приток молодых педагогических кадров, стало принятие Федерального закона от 8 июня 2020 г. № 165-ФЗ «О внесении изменений в статьи 46 и 108 Федерального закона «Об образовании в Российской Федерации». В соответствии с законом студенты-старшекурсники педагогических специальностей, успешно сдавшие промежуточную аттестацию не менее чем за три года обучения, имеют право заниматься педагогической деятельностью по основным общеобразовательным программам, а лица, получающие высшее образование по направлению, соответствующему профилю дополнительной общеобразовательной программы, педагогической деятельностью по этим программам. </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 2022 году министром образования Самарской области принято решение о трудоустройстве в общеобразовательные учреждения области на 2022-2023 учебный год студентов выпускных курсов ФГБОУ ВО «Самарский государственный социально-педагогический университет». В 2022-2023 учебном году 9 студентов Самарского государственного социально-педагогического университета будут трудоустроены в тольяттинские школы, что одновременно позволит «закрыть» вакансии учителей в данных учреждениях.</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 целях повышения престижности и привлекательности педагогического труда, притока в отрасль молодых специалистов, повышения профессионального мастерства педагогических работников системы образования ежегодно проводятся городские конкурсы профессионального мастерства педагогических работников: «Учитель года», «Воспитатель года», Фестиваль талантов коллективов муниципальных образовательных учреждений и др., а также праздничные мероприятия, посвященные профессиональным праздникам «День учителя», «День воспитателей и всех дошкольных работников».</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xml:space="preserve">   В текущем году 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w:t>
      </w:r>
      <w:r w:rsidR="00FA2D5F">
        <w:rPr>
          <w:sz w:val="28"/>
          <w:szCs w:val="28"/>
          <w:lang w:eastAsia="ru-RU"/>
        </w:rPr>
        <w:t xml:space="preserve"> </w:t>
      </w:r>
      <w:r w:rsidR="00FA2D5F" w:rsidRPr="00444AC7">
        <w:rPr>
          <w:sz w:val="28"/>
          <w:szCs w:val="28"/>
          <w:lang w:eastAsia="ru-RU"/>
        </w:rPr>
        <w:t>заключен</w:t>
      </w:r>
      <w:r w:rsidR="00FA2D5F">
        <w:rPr>
          <w:sz w:val="28"/>
          <w:szCs w:val="28"/>
          <w:lang w:eastAsia="ru-RU"/>
        </w:rPr>
        <w:t>ы</w:t>
      </w:r>
      <w:r w:rsidR="00FA2D5F" w:rsidRPr="00444AC7">
        <w:rPr>
          <w:sz w:val="28"/>
          <w:szCs w:val="28"/>
          <w:lang w:eastAsia="ru-RU"/>
        </w:rPr>
        <w:t xml:space="preserve"> соглашени</w:t>
      </w:r>
      <w:r w:rsidR="00FA2D5F">
        <w:rPr>
          <w:sz w:val="28"/>
          <w:szCs w:val="28"/>
          <w:lang w:eastAsia="ru-RU"/>
        </w:rPr>
        <w:t>я</w:t>
      </w:r>
      <w:r w:rsidR="00FA2D5F" w:rsidRPr="00444AC7">
        <w:rPr>
          <w:sz w:val="28"/>
          <w:szCs w:val="28"/>
          <w:lang w:eastAsia="ru-RU"/>
        </w:rPr>
        <w:t xml:space="preserve"> на выделение бюджету городского округа Тольятти областных субсидий</w:t>
      </w:r>
      <w:r w:rsidRPr="00444AC7">
        <w:rPr>
          <w:sz w:val="28"/>
          <w:szCs w:val="28"/>
          <w:lang w:eastAsia="ru-RU"/>
        </w:rPr>
        <w:t>:</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на проведение капитального ремонта и оснащение основными средствами 5 образовательных учреждений;</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на проведение капитального ремонта пищеблоков 10 школ;</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на оснащение 12 муниципальных образовательных учреждений системами комплексной безопасности.</w:t>
      </w:r>
    </w:p>
    <w:p w:rsidR="00124549" w:rsidRDefault="00124549" w:rsidP="00F75168">
      <w:pPr>
        <w:shd w:val="clear" w:color="auto" w:fill="FFFFFF"/>
        <w:spacing w:line="276" w:lineRule="auto"/>
        <w:rPr>
          <w:sz w:val="28"/>
          <w:szCs w:val="28"/>
          <w:lang w:eastAsia="ru-RU"/>
        </w:rPr>
      </w:pPr>
      <w:r w:rsidRPr="00444AC7">
        <w:rPr>
          <w:sz w:val="28"/>
          <w:szCs w:val="28"/>
          <w:lang w:eastAsia="ru-RU"/>
        </w:rPr>
        <w:t xml:space="preserve">В рамках муниципальной программы «Развитие системы образования городского округа Тольятти на 2021-2027 годы» за счет средств муниципального бюджета планируется капитальный ремонт кровель в 10 образовательных учреждениях. </w:t>
      </w:r>
    </w:p>
    <w:p w:rsidR="003035DA" w:rsidRPr="003035DA" w:rsidRDefault="003035DA" w:rsidP="00F75168">
      <w:pPr>
        <w:shd w:val="clear" w:color="auto" w:fill="FFFFFF"/>
        <w:spacing w:line="276" w:lineRule="auto"/>
        <w:rPr>
          <w:sz w:val="28"/>
          <w:szCs w:val="28"/>
          <w:lang w:eastAsia="ru-RU"/>
        </w:rPr>
      </w:pPr>
      <w:r>
        <w:rPr>
          <w:sz w:val="28"/>
          <w:szCs w:val="28"/>
          <w:lang w:eastAsia="ru-RU"/>
        </w:rPr>
        <w:t>Кроме того, в</w:t>
      </w:r>
      <w:r w:rsidRPr="003035DA">
        <w:rPr>
          <w:sz w:val="28"/>
          <w:szCs w:val="28"/>
          <w:lang w:eastAsia="ru-RU"/>
        </w:rPr>
        <w:t xml:space="preserve"> 2022 году в рамках реализации муниципальной программы предусмотрены средства </w:t>
      </w:r>
      <w:r>
        <w:rPr>
          <w:sz w:val="28"/>
          <w:szCs w:val="28"/>
          <w:lang w:eastAsia="ru-RU"/>
        </w:rPr>
        <w:t xml:space="preserve">бюджета городского округа </w:t>
      </w:r>
      <w:r w:rsidRPr="003035DA">
        <w:rPr>
          <w:sz w:val="28"/>
          <w:szCs w:val="28"/>
          <w:lang w:eastAsia="ru-RU"/>
        </w:rPr>
        <w:t xml:space="preserve">на проведение капитального ремонта </w:t>
      </w:r>
      <w:r>
        <w:rPr>
          <w:rFonts w:eastAsia="Calibri"/>
          <w:sz w:val="28"/>
          <w:szCs w:val="28"/>
        </w:rPr>
        <w:t>систем автоматической пожарной сигнализации, оповещения и управле</w:t>
      </w:r>
      <w:r w:rsidR="00A52E63">
        <w:rPr>
          <w:rFonts w:eastAsia="Calibri"/>
          <w:sz w:val="28"/>
          <w:szCs w:val="28"/>
        </w:rPr>
        <w:t xml:space="preserve">ния эвакуацией людей при пожаре </w:t>
      </w:r>
      <w:r w:rsidRPr="003035DA">
        <w:rPr>
          <w:sz w:val="28"/>
          <w:szCs w:val="28"/>
          <w:lang w:eastAsia="ru-RU"/>
        </w:rPr>
        <w:t>(в настоящее время ремонт проведен в 4 образовательных учреждениях).</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В рамках государственной программы «Доступная среда в Самарской области» на 2014-2025 годы заключены соглашения:</w:t>
      </w:r>
    </w:p>
    <w:p w:rsidR="00124549" w:rsidRPr="00444AC7" w:rsidRDefault="00124549" w:rsidP="00F75168">
      <w:pPr>
        <w:shd w:val="clear" w:color="auto" w:fill="FFFFFF"/>
        <w:spacing w:line="276" w:lineRule="auto"/>
        <w:rPr>
          <w:sz w:val="28"/>
          <w:szCs w:val="28"/>
          <w:lang w:eastAsia="ru-RU"/>
        </w:rPr>
      </w:pPr>
      <w:r w:rsidRPr="00444AC7">
        <w:rPr>
          <w:sz w:val="28"/>
          <w:szCs w:val="28"/>
          <w:lang w:eastAsia="ru-RU"/>
        </w:rPr>
        <w:t>-   на обустройство и приспособление приоритетных объектов дошкольного образования с целью обеспечения их доступности для инвалидов (МАОУ детский сад № 49 «Весе</w:t>
      </w:r>
      <w:r>
        <w:rPr>
          <w:sz w:val="28"/>
          <w:szCs w:val="28"/>
          <w:lang w:eastAsia="ru-RU"/>
        </w:rPr>
        <w:t>лые нотки»)</w:t>
      </w:r>
      <w:r w:rsidRPr="00444AC7">
        <w:rPr>
          <w:sz w:val="28"/>
          <w:szCs w:val="28"/>
          <w:lang w:eastAsia="ru-RU"/>
        </w:rPr>
        <w:t>;</w:t>
      </w:r>
    </w:p>
    <w:p w:rsidR="00124549" w:rsidRDefault="00124549" w:rsidP="00F75168">
      <w:pPr>
        <w:shd w:val="clear" w:color="auto" w:fill="FFFFFF"/>
        <w:spacing w:line="276" w:lineRule="auto"/>
        <w:rPr>
          <w:sz w:val="28"/>
          <w:szCs w:val="28"/>
          <w:lang w:eastAsia="ru-RU"/>
        </w:rPr>
      </w:pPr>
      <w:r w:rsidRPr="00444AC7">
        <w:rPr>
          <w:sz w:val="28"/>
          <w:szCs w:val="28"/>
          <w:lang w:eastAsia="ru-RU"/>
        </w:rPr>
        <w:t>- на создание в общеобразовательных организациях условий для инклюзивного образования детей-инвалидов (МБУ Школ</w:t>
      </w:r>
      <w:r>
        <w:rPr>
          <w:sz w:val="28"/>
          <w:szCs w:val="28"/>
          <w:lang w:eastAsia="ru-RU"/>
        </w:rPr>
        <w:t>а № 88)</w:t>
      </w:r>
      <w:r w:rsidRPr="00444AC7">
        <w:rPr>
          <w:sz w:val="28"/>
          <w:szCs w:val="28"/>
          <w:lang w:eastAsia="ru-RU"/>
        </w:rPr>
        <w:t>.</w:t>
      </w:r>
    </w:p>
    <w:p w:rsidR="00333563" w:rsidRDefault="00124549" w:rsidP="00F75168">
      <w:pPr>
        <w:shd w:val="clear" w:color="auto" w:fill="FFFFFF"/>
        <w:spacing w:line="276" w:lineRule="auto"/>
        <w:rPr>
          <w:sz w:val="28"/>
          <w:szCs w:val="28"/>
          <w:lang w:eastAsia="ru-RU"/>
        </w:rPr>
      </w:pPr>
      <w:r w:rsidRPr="00E504AD">
        <w:rPr>
          <w:sz w:val="28"/>
          <w:szCs w:val="28"/>
          <w:lang w:eastAsia="ru-RU"/>
        </w:rPr>
        <w:t>В 2021 году в городском округе Тольятти начато строительство детского сада ЛДС-2</w:t>
      </w:r>
      <w:r>
        <w:rPr>
          <w:sz w:val="28"/>
          <w:szCs w:val="28"/>
          <w:lang w:eastAsia="ru-RU"/>
        </w:rPr>
        <w:t xml:space="preserve"> (на 150 мест)</w:t>
      </w:r>
      <w:r w:rsidRPr="00E504AD">
        <w:rPr>
          <w:sz w:val="28"/>
          <w:szCs w:val="28"/>
          <w:lang w:eastAsia="ru-RU"/>
        </w:rPr>
        <w:t xml:space="preserve"> в составе 2 этапа в 14а квартале Автозаводского района общей стоимостью проекта 161,0 млн. руб. В 2022 году пров</w:t>
      </w:r>
      <w:r w:rsidR="006C5071">
        <w:rPr>
          <w:sz w:val="28"/>
          <w:szCs w:val="28"/>
          <w:lang w:eastAsia="ru-RU"/>
        </w:rPr>
        <w:t xml:space="preserve">едены </w:t>
      </w:r>
      <w:r w:rsidRPr="00E504AD">
        <w:rPr>
          <w:sz w:val="28"/>
          <w:szCs w:val="28"/>
          <w:lang w:eastAsia="ru-RU"/>
        </w:rPr>
        <w:t xml:space="preserve">мероприятия по подключению объекта к наружным сетям водоснабжения и канализации (АО «ТЭВИС»). </w:t>
      </w:r>
    </w:p>
    <w:p w:rsidR="00124549" w:rsidRPr="00E504AD" w:rsidRDefault="00295270" w:rsidP="00F75168">
      <w:pPr>
        <w:shd w:val="clear" w:color="auto" w:fill="FFFFFF"/>
        <w:spacing w:line="276" w:lineRule="auto"/>
        <w:rPr>
          <w:sz w:val="28"/>
          <w:szCs w:val="28"/>
          <w:lang w:eastAsia="ru-RU"/>
        </w:rPr>
      </w:pPr>
      <w:r>
        <w:rPr>
          <w:sz w:val="28"/>
          <w:szCs w:val="28"/>
          <w:lang w:eastAsia="ru-RU"/>
        </w:rPr>
        <w:t>29.09.2022 получено разрешение на ввод объекта в эксплуатацию, ведется процедура зачисления в детский сад.</w:t>
      </w:r>
    </w:p>
    <w:p w:rsidR="002C1FFE" w:rsidRDefault="00124549" w:rsidP="00F75168">
      <w:pPr>
        <w:shd w:val="clear" w:color="auto" w:fill="FFFFFF"/>
        <w:spacing w:line="276" w:lineRule="auto"/>
        <w:rPr>
          <w:sz w:val="28"/>
          <w:szCs w:val="28"/>
          <w:lang w:eastAsia="ru-RU"/>
        </w:rPr>
      </w:pPr>
      <w:r w:rsidRPr="00E504AD">
        <w:rPr>
          <w:sz w:val="28"/>
          <w:szCs w:val="28"/>
          <w:lang w:eastAsia="ru-RU"/>
        </w:rPr>
        <w:t>В 2022 году продолжено строительство общеобразовательной школы на 1600 мест, расположенной в 20 квартале Автозаводского района (работы по строительству начались в 2021 году</w:t>
      </w:r>
      <w:r w:rsidR="006118C2">
        <w:rPr>
          <w:sz w:val="28"/>
          <w:szCs w:val="28"/>
          <w:lang w:eastAsia="ru-RU"/>
        </w:rPr>
        <w:t>, з</w:t>
      </w:r>
      <w:r w:rsidR="006118C2" w:rsidRPr="00E504AD">
        <w:rPr>
          <w:sz w:val="28"/>
          <w:szCs w:val="28"/>
          <w:lang w:eastAsia="ru-RU"/>
        </w:rPr>
        <w:t>аключен контракт на строительство школы с ООО «СтройНефть»</w:t>
      </w:r>
      <w:r w:rsidR="006118C2">
        <w:rPr>
          <w:sz w:val="28"/>
          <w:szCs w:val="28"/>
          <w:lang w:eastAsia="ru-RU"/>
        </w:rPr>
        <w:t>)</w:t>
      </w:r>
      <w:r w:rsidRPr="00E504AD">
        <w:rPr>
          <w:sz w:val="28"/>
          <w:szCs w:val="28"/>
          <w:lang w:eastAsia="ru-RU"/>
        </w:rPr>
        <w:t xml:space="preserve">. </w:t>
      </w:r>
    </w:p>
    <w:p w:rsidR="006118C2" w:rsidRPr="002C5BE0" w:rsidRDefault="006118C2" w:rsidP="00F75168">
      <w:pPr>
        <w:shd w:val="clear" w:color="auto" w:fill="FFFFFF"/>
        <w:spacing w:line="276" w:lineRule="auto"/>
        <w:rPr>
          <w:sz w:val="28"/>
          <w:szCs w:val="28"/>
          <w:lang w:eastAsia="ru-RU"/>
        </w:rPr>
      </w:pPr>
      <w:r>
        <w:rPr>
          <w:sz w:val="28"/>
          <w:szCs w:val="28"/>
          <w:lang w:eastAsia="ru-RU"/>
        </w:rPr>
        <w:t>Ф</w:t>
      </w:r>
      <w:r w:rsidRPr="008F4FAB">
        <w:rPr>
          <w:sz w:val="28"/>
          <w:szCs w:val="28"/>
          <w:lang w:eastAsia="ru-RU"/>
        </w:rPr>
        <w:t xml:space="preserve">инансовая составляющая по городскому округу Тольятти </w:t>
      </w:r>
      <w:r w:rsidRPr="002C5BE0">
        <w:rPr>
          <w:sz w:val="28"/>
          <w:szCs w:val="28"/>
          <w:lang w:eastAsia="ru-RU"/>
        </w:rPr>
        <w:t>в части</w:t>
      </w:r>
      <w:r>
        <w:rPr>
          <w:sz w:val="28"/>
          <w:szCs w:val="28"/>
          <w:lang w:eastAsia="ru-RU"/>
        </w:rPr>
        <w:t xml:space="preserve"> </w:t>
      </w:r>
      <w:r w:rsidRPr="002C5BE0">
        <w:rPr>
          <w:sz w:val="28"/>
          <w:szCs w:val="28"/>
          <w:lang w:eastAsia="ru-RU"/>
        </w:rPr>
        <w:t>строительств</w:t>
      </w:r>
      <w:r>
        <w:rPr>
          <w:sz w:val="28"/>
          <w:szCs w:val="28"/>
          <w:lang w:eastAsia="ru-RU"/>
        </w:rPr>
        <w:t>а</w:t>
      </w:r>
      <w:r w:rsidRPr="002C5BE0">
        <w:rPr>
          <w:sz w:val="28"/>
          <w:szCs w:val="28"/>
          <w:lang w:eastAsia="ru-RU"/>
        </w:rPr>
        <w:t xml:space="preserve"> школы</w:t>
      </w:r>
      <w:r>
        <w:rPr>
          <w:sz w:val="28"/>
          <w:szCs w:val="28"/>
          <w:lang w:eastAsia="ru-RU"/>
        </w:rPr>
        <w:t xml:space="preserve"> определена в рамках региональной составляющей </w:t>
      </w:r>
      <w:r w:rsidRPr="008F4FAB">
        <w:rPr>
          <w:sz w:val="28"/>
          <w:szCs w:val="28"/>
          <w:lang w:eastAsia="ru-RU"/>
        </w:rPr>
        <w:t>федеральн</w:t>
      </w:r>
      <w:r>
        <w:rPr>
          <w:sz w:val="28"/>
          <w:szCs w:val="28"/>
          <w:lang w:eastAsia="ru-RU"/>
        </w:rPr>
        <w:t xml:space="preserve">ого проекта «Современная школа»: объем финансирования </w:t>
      </w:r>
      <w:r w:rsidR="00D51779">
        <w:rPr>
          <w:sz w:val="28"/>
          <w:szCs w:val="28"/>
          <w:lang w:eastAsia="ru-RU"/>
        </w:rPr>
        <w:t>на 2022 </w:t>
      </w:r>
      <w:r>
        <w:rPr>
          <w:sz w:val="28"/>
          <w:szCs w:val="28"/>
          <w:lang w:eastAsia="ru-RU"/>
        </w:rPr>
        <w:t>год за счет средств бюджетов всех уровней составил 1 265,3 млн. руб</w:t>
      </w:r>
      <w:r w:rsidR="00EF2D65">
        <w:rPr>
          <w:sz w:val="28"/>
          <w:szCs w:val="28"/>
          <w:lang w:eastAsia="ru-RU"/>
        </w:rPr>
        <w:t>.</w:t>
      </w:r>
      <w:r>
        <w:rPr>
          <w:sz w:val="28"/>
          <w:szCs w:val="28"/>
          <w:lang w:eastAsia="ru-RU"/>
        </w:rPr>
        <w:t xml:space="preserve"> (в т.ч. 63,3 млн. руб</w:t>
      </w:r>
      <w:r w:rsidR="00EF2D65">
        <w:rPr>
          <w:sz w:val="28"/>
          <w:szCs w:val="28"/>
          <w:lang w:eastAsia="ru-RU"/>
        </w:rPr>
        <w:t>.</w:t>
      </w:r>
      <w:r>
        <w:rPr>
          <w:sz w:val="28"/>
          <w:szCs w:val="28"/>
          <w:lang w:eastAsia="ru-RU"/>
        </w:rPr>
        <w:t xml:space="preserve"> за счет средств бюджета городского округа Тольятти). На 01.07.202</w:t>
      </w:r>
      <w:r w:rsidR="00A30926">
        <w:rPr>
          <w:sz w:val="28"/>
          <w:szCs w:val="28"/>
          <w:lang w:eastAsia="ru-RU"/>
        </w:rPr>
        <w:t>2 освоение составило 406,4 млн. руб</w:t>
      </w:r>
      <w:r w:rsidR="00EF2D65">
        <w:rPr>
          <w:sz w:val="28"/>
          <w:szCs w:val="28"/>
          <w:lang w:eastAsia="ru-RU"/>
        </w:rPr>
        <w:t>.</w:t>
      </w:r>
      <w:r>
        <w:rPr>
          <w:sz w:val="28"/>
          <w:szCs w:val="28"/>
          <w:lang w:eastAsia="ru-RU"/>
        </w:rPr>
        <w:t xml:space="preserve"> (32,1%).</w:t>
      </w:r>
      <w:r w:rsidR="00A30926">
        <w:rPr>
          <w:sz w:val="28"/>
          <w:szCs w:val="28"/>
          <w:lang w:eastAsia="ru-RU"/>
        </w:rPr>
        <w:t xml:space="preserve"> </w:t>
      </w:r>
    </w:p>
    <w:p w:rsidR="00F75168" w:rsidRDefault="00F75168" w:rsidP="00124549">
      <w:pPr>
        <w:widowControl w:val="0"/>
        <w:spacing w:before="120" w:after="120" w:line="276" w:lineRule="auto"/>
        <w:jc w:val="center"/>
        <w:rPr>
          <w:bCs/>
          <w:sz w:val="28"/>
          <w:szCs w:val="28"/>
        </w:rPr>
      </w:pPr>
    </w:p>
    <w:p w:rsidR="00124549" w:rsidRPr="00E504AD" w:rsidRDefault="00124549" w:rsidP="00124549">
      <w:pPr>
        <w:widowControl w:val="0"/>
        <w:spacing w:before="120" w:after="120" w:line="276" w:lineRule="auto"/>
        <w:jc w:val="center"/>
        <w:rPr>
          <w:bCs/>
          <w:sz w:val="28"/>
          <w:szCs w:val="28"/>
        </w:rPr>
      </w:pPr>
      <w:r w:rsidRPr="00E504AD">
        <w:rPr>
          <w:bCs/>
          <w:sz w:val="28"/>
          <w:szCs w:val="28"/>
        </w:rPr>
        <w:t>Ожидаемое выполнение прогнозных показателей по разделу «Образование» на 2022 год</w:t>
      </w:r>
    </w:p>
    <w:tbl>
      <w:tblPr>
        <w:tblW w:w="4949" w:type="pct"/>
        <w:tblLook w:val="0000" w:firstRow="0" w:lastRow="0" w:firstColumn="0" w:lastColumn="0" w:noHBand="0" w:noVBand="0"/>
      </w:tblPr>
      <w:tblGrid>
        <w:gridCol w:w="3456"/>
        <w:gridCol w:w="1471"/>
        <w:gridCol w:w="1567"/>
        <w:gridCol w:w="1485"/>
        <w:gridCol w:w="1493"/>
      </w:tblGrid>
      <w:tr w:rsidR="00124549" w:rsidRPr="001D4862" w:rsidTr="00BE7856">
        <w:trPr>
          <w:trHeight w:val="216"/>
          <w:tblHeader/>
        </w:trPr>
        <w:tc>
          <w:tcPr>
            <w:tcW w:w="1824" w:type="pct"/>
            <w:vMerge w:val="restart"/>
            <w:tcBorders>
              <w:top w:val="single" w:sz="4" w:space="0" w:color="000000"/>
              <w:left w:val="single" w:sz="4" w:space="0" w:color="000000"/>
              <w:bottom w:val="single" w:sz="4" w:space="0" w:color="000000"/>
            </w:tcBorders>
            <w:vAlign w:val="center"/>
          </w:tcPr>
          <w:p w:rsidR="00124549" w:rsidRPr="00E504AD" w:rsidRDefault="00124549" w:rsidP="00124549">
            <w:pPr>
              <w:rPr>
                <w:sz w:val="28"/>
                <w:szCs w:val="28"/>
                <w:lang w:eastAsia="ru-RU"/>
              </w:rPr>
            </w:pPr>
            <w:r w:rsidRPr="00E504AD">
              <w:rPr>
                <w:sz w:val="28"/>
                <w:szCs w:val="28"/>
                <w:lang w:eastAsia="ru-RU"/>
              </w:rPr>
              <w:t>Показатели</w:t>
            </w:r>
          </w:p>
        </w:tc>
        <w:tc>
          <w:tcPr>
            <w:tcW w:w="776" w:type="pct"/>
            <w:vMerge w:val="restart"/>
            <w:tcBorders>
              <w:top w:val="single" w:sz="4" w:space="0" w:color="000000"/>
              <w:left w:val="single" w:sz="4" w:space="0" w:color="000000"/>
              <w:right w:val="single" w:sz="4" w:space="0" w:color="000000"/>
            </w:tcBorders>
            <w:vAlign w:val="center"/>
          </w:tcPr>
          <w:p w:rsidR="00124549" w:rsidRPr="00E504AD" w:rsidRDefault="00124549" w:rsidP="006F29B0">
            <w:pPr>
              <w:ind w:firstLine="0"/>
              <w:jc w:val="center"/>
              <w:rPr>
                <w:sz w:val="28"/>
                <w:szCs w:val="28"/>
                <w:lang w:eastAsia="ru-RU"/>
              </w:rPr>
            </w:pPr>
            <w:r w:rsidRPr="00E504AD">
              <w:rPr>
                <w:sz w:val="28"/>
                <w:szCs w:val="28"/>
                <w:lang w:eastAsia="ru-RU"/>
              </w:rPr>
              <w:t>Единица измерения</w:t>
            </w:r>
          </w:p>
        </w:tc>
        <w:tc>
          <w:tcPr>
            <w:tcW w:w="1611" w:type="pct"/>
            <w:gridSpan w:val="2"/>
            <w:tcBorders>
              <w:top w:val="single" w:sz="4" w:space="0" w:color="000000"/>
              <w:left w:val="single" w:sz="4" w:space="0" w:color="000000"/>
              <w:bottom w:val="single" w:sz="4" w:space="0" w:color="000000"/>
            </w:tcBorders>
            <w:vAlign w:val="center"/>
          </w:tcPr>
          <w:p w:rsidR="00124549" w:rsidRPr="00E504AD" w:rsidRDefault="00124549" w:rsidP="00C96122">
            <w:pPr>
              <w:ind w:firstLine="0"/>
              <w:jc w:val="center"/>
              <w:rPr>
                <w:sz w:val="28"/>
                <w:szCs w:val="28"/>
                <w:lang w:eastAsia="ru-RU"/>
              </w:rPr>
            </w:pPr>
            <w:r w:rsidRPr="00E504AD">
              <w:rPr>
                <w:sz w:val="28"/>
                <w:szCs w:val="28"/>
                <w:lang w:eastAsia="ru-RU"/>
              </w:rPr>
              <w:t>Прогноз на 2022 год</w:t>
            </w:r>
          </w:p>
        </w:tc>
        <w:tc>
          <w:tcPr>
            <w:tcW w:w="788" w:type="pct"/>
            <w:vMerge w:val="restart"/>
            <w:tcBorders>
              <w:top w:val="single" w:sz="4" w:space="0" w:color="000000"/>
              <w:left w:val="single" w:sz="4" w:space="0" w:color="000000"/>
              <w:bottom w:val="single" w:sz="4" w:space="0" w:color="000000"/>
              <w:right w:val="single" w:sz="4" w:space="0" w:color="auto"/>
            </w:tcBorders>
            <w:vAlign w:val="center"/>
          </w:tcPr>
          <w:p w:rsidR="00124549" w:rsidRPr="00E504AD" w:rsidRDefault="00124549" w:rsidP="006F29B0">
            <w:pPr>
              <w:ind w:firstLine="0"/>
              <w:jc w:val="center"/>
              <w:rPr>
                <w:sz w:val="28"/>
                <w:szCs w:val="28"/>
                <w:lang w:eastAsia="ru-RU"/>
              </w:rPr>
            </w:pPr>
            <w:r w:rsidRPr="00E504AD">
              <w:rPr>
                <w:sz w:val="28"/>
                <w:szCs w:val="28"/>
                <w:lang w:eastAsia="ru-RU"/>
              </w:rPr>
              <w:t>2022</w:t>
            </w:r>
            <w:r>
              <w:rPr>
                <w:sz w:val="28"/>
                <w:szCs w:val="28"/>
                <w:lang w:eastAsia="ru-RU"/>
              </w:rPr>
              <w:t xml:space="preserve"> </w:t>
            </w:r>
            <w:r w:rsidRPr="00E504AD">
              <w:rPr>
                <w:sz w:val="28"/>
                <w:szCs w:val="28"/>
                <w:lang w:eastAsia="ru-RU"/>
              </w:rPr>
              <w:t>год (оценка)</w:t>
            </w:r>
          </w:p>
        </w:tc>
      </w:tr>
      <w:tr w:rsidR="00124549" w:rsidRPr="001D4862" w:rsidTr="00BE7856">
        <w:trPr>
          <w:tblHeader/>
        </w:trPr>
        <w:tc>
          <w:tcPr>
            <w:tcW w:w="1824" w:type="pct"/>
            <w:vMerge/>
            <w:tcBorders>
              <w:top w:val="single" w:sz="4" w:space="0" w:color="000000"/>
              <w:left w:val="single" w:sz="4" w:space="0" w:color="000000"/>
              <w:bottom w:val="single" w:sz="4" w:space="0" w:color="000000"/>
            </w:tcBorders>
          </w:tcPr>
          <w:p w:rsidR="00124549" w:rsidRPr="00E504AD" w:rsidRDefault="00124549" w:rsidP="00CD713B">
            <w:pPr>
              <w:snapToGrid w:val="0"/>
              <w:jc w:val="center"/>
              <w:rPr>
                <w:sz w:val="28"/>
                <w:szCs w:val="28"/>
                <w:lang w:eastAsia="ru-RU"/>
              </w:rPr>
            </w:pPr>
          </w:p>
        </w:tc>
        <w:tc>
          <w:tcPr>
            <w:tcW w:w="776" w:type="pct"/>
            <w:vMerge/>
            <w:tcBorders>
              <w:left w:val="single" w:sz="4" w:space="0" w:color="000000"/>
              <w:bottom w:val="single" w:sz="4" w:space="0" w:color="000000"/>
              <w:right w:val="single" w:sz="4" w:space="0" w:color="000000"/>
            </w:tcBorders>
          </w:tcPr>
          <w:p w:rsidR="00124549" w:rsidRPr="00E504AD" w:rsidRDefault="00124549" w:rsidP="006F29B0">
            <w:pPr>
              <w:jc w:val="center"/>
              <w:rPr>
                <w:sz w:val="28"/>
                <w:szCs w:val="28"/>
                <w:lang w:eastAsia="ru-RU"/>
              </w:rPr>
            </w:pPr>
          </w:p>
        </w:tc>
        <w:tc>
          <w:tcPr>
            <w:tcW w:w="827" w:type="pct"/>
            <w:tcBorders>
              <w:top w:val="single" w:sz="4" w:space="0" w:color="000000"/>
              <w:left w:val="single" w:sz="4" w:space="0" w:color="000000"/>
              <w:bottom w:val="single" w:sz="4" w:space="0" w:color="000000"/>
            </w:tcBorders>
            <w:vAlign w:val="center"/>
          </w:tcPr>
          <w:p w:rsidR="00124549" w:rsidRPr="00E504AD" w:rsidRDefault="00124549" w:rsidP="006F29B0">
            <w:pPr>
              <w:ind w:firstLine="0"/>
              <w:jc w:val="center"/>
              <w:rPr>
                <w:sz w:val="28"/>
                <w:szCs w:val="28"/>
                <w:lang w:eastAsia="ru-RU"/>
              </w:rPr>
            </w:pPr>
            <w:r w:rsidRPr="00E504AD">
              <w:rPr>
                <w:sz w:val="28"/>
                <w:szCs w:val="28"/>
                <w:lang w:eastAsia="ru-RU"/>
              </w:rPr>
              <w:t>1 вариант (консерва</w:t>
            </w:r>
          </w:p>
          <w:p w:rsidR="00124549" w:rsidRPr="00E504AD" w:rsidRDefault="00124549" w:rsidP="006F29B0">
            <w:pPr>
              <w:ind w:firstLine="0"/>
              <w:jc w:val="center"/>
              <w:rPr>
                <w:sz w:val="28"/>
                <w:szCs w:val="28"/>
                <w:lang w:eastAsia="ru-RU"/>
              </w:rPr>
            </w:pPr>
            <w:r w:rsidRPr="00E504AD">
              <w:rPr>
                <w:sz w:val="28"/>
                <w:szCs w:val="28"/>
                <w:lang w:eastAsia="ru-RU"/>
              </w:rPr>
              <w:t>тивный)</w:t>
            </w:r>
          </w:p>
        </w:tc>
        <w:tc>
          <w:tcPr>
            <w:tcW w:w="784" w:type="pct"/>
            <w:tcBorders>
              <w:top w:val="single" w:sz="4" w:space="0" w:color="000000"/>
              <w:left w:val="single" w:sz="4" w:space="0" w:color="000000"/>
              <w:bottom w:val="single" w:sz="4" w:space="0" w:color="000000"/>
            </w:tcBorders>
            <w:vAlign w:val="center"/>
          </w:tcPr>
          <w:p w:rsidR="00124549" w:rsidRPr="00E504AD" w:rsidRDefault="00124549" w:rsidP="006F29B0">
            <w:pPr>
              <w:ind w:firstLine="0"/>
              <w:jc w:val="center"/>
              <w:rPr>
                <w:sz w:val="28"/>
                <w:szCs w:val="28"/>
                <w:lang w:eastAsia="ru-RU"/>
              </w:rPr>
            </w:pPr>
            <w:r w:rsidRPr="00E504AD">
              <w:rPr>
                <w:sz w:val="28"/>
                <w:szCs w:val="28"/>
                <w:lang w:eastAsia="ru-RU"/>
              </w:rPr>
              <w:t>2 вариант</w:t>
            </w:r>
          </w:p>
          <w:p w:rsidR="00124549" w:rsidRPr="00E504AD" w:rsidRDefault="00124549" w:rsidP="006F29B0">
            <w:pPr>
              <w:ind w:firstLine="0"/>
              <w:jc w:val="center"/>
              <w:rPr>
                <w:sz w:val="28"/>
                <w:szCs w:val="28"/>
                <w:lang w:eastAsia="ru-RU"/>
              </w:rPr>
            </w:pPr>
            <w:r w:rsidRPr="00E504AD">
              <w:rPr>
                <w:sz w:val="28"/>
                <w:szCs w:val="28"/>
                <w:lang w:eastAsia="ru-RU"/>
              </w:rPr>
              <w:t>(базовый)</w:t>
            </w:r>
          </w:p>
        </w:tc>
        <w:tc>
          <w:tcPr>
            <w:tcW w:w="788" w:type="pct"/>
            <w:vMerge/>
            <w:tcBorders>
              <w:top w:val="single" w:sz="4" w:space="0" w:color="000000"/>
              <w:left w:val="single" w:sz="4" w:space="0" w:color="000000"/>
              <w:bottom w:val="single" w:sz="4" w:space="0" w:color="000000"/>
              <w:right w:val="single" w:sz="4" w:space="0" w:color="auto"/>
            </w:tcBorders>
          </w:tcPr>
          <w:p w:rsidR="00124549" w:rsidRPr="00E504AD" w:rsidRDefault="00124549" w:rsidP="00CD713B">
            <w:pPr>
              <w:snapToGrid w:val="0"/>
              <w:jc w:val="center"/>
              <w:rPr>
                <w:sz w:val="28"/>
                <w:szCs w:val="28"/>
                <w:lang w:eastAsia="ru-RU"/>
              </w:rPr>
            </w:pPr>
          </w:p>
        </w:tc>
      </w:tr>
      <w:tr w:rsidR="00124549" w:rsidRPr="001D4862" w:rsidTr="00BE7856">
        <w:trPr>
          <w:trHeight w:val="694"/>
        </w:trPr>
        <w:tc>
          <w:tcPr>
            <w:tcW w:w="1824" w:type="pct"/>
            <w:tcBorders>
              <w:top w:val="single" w:sz="4" w:space="0" w:color="000000"/>
              <w:left w:val="single" w:sz="4" w:space="0" w:color="000000"/>
              <w:bottom w:val="single" w:sz="4" w:space="0" w:color="000000"/>
            </w:tcBorders>
          </w:tcPr>
          <w:p w:rsidR="00124549" w:rsidRPr="00E504AD" w:rsidRDefault="00124549" w:rsidP="00124549">
            <w:pPr>
              <w:ind w:firstLine="0"/>
              <w:rPr>
                <w:sz w:val="28"/>
                <w:szCs w:val="28"/>
                <w:lang w:eastAsia="ru-RU"/>
              </w:rPr>
            </w:pPr>
            <w:r w:rsidRPr="00E504AD">
              <w:rPr>
                <w:sz w:val="28"/>
                <w:szCs w:val="28"/>
                <w:lang w:eastAsia="ru-RU"/>
              </w:rPr>
              <w:t>Численность детей в возрасте 1-6 лет</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E504AD" w:rsidRDefault="00124549" w:rsidP="006F29B0">
            <w:pPr>
              <w:ind w:firstLine="0"/>
              <w:jc w:val="center"/>
              <w:rPr>
                <w:sz w:val="28"/>
                <w:szCs w:val="28"/>
                <w:lang w:eastAsia="ru-RU"/>
              </w:rPr>
            </w:pPr>
            <w:r w:rsidRPr="00E504AD">
              <w:rPr>
                <w:sz w:val="28"/>
                <w:szCs w:val="28"/>
                <w:lang w:eastAsia="ru-RU"/>
              </w:rPr>
              <w:t>человек</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124549" w:rsidRPr="00E504AD" w:rsidRDefault="00124549" w:rsidP="00124549">
            <w:pPr>
              <w:ind w:firstLine="0"/>
              <w:jc w:val="center"/>
              <w:rPr>
                <w:sz w:val="28"/>
                <w:szCs w:val="28"/>
                <w:lang w:eastAsia="ru-RU"/>
              </w:rPr>
            </w:pPr>
            <w:r w:rsidRPr="00E504AD">
              <w:rPr>
                <w:sz w:val="28"/>
                <w:szCs w:val="28"/>
                <w:lang w:eastAsia="ru-RU"/>
              </w:rPr>
              <w:t>42 122</w:t>
            </w:r>
          </w:p>
        </w:tc>
        <w:tc>
          <w:tcPr>
            <w:tcW w:w="784" w:type="pct"/>
            <w:tcBorders>
              <w:top w:val="single" w:sz="4" w:space="0" w:color="auto"/>
              <w:left w:val="nil"/>
              <w:bottom w:val="single" w:sz="4" w:space="0" w:color="auto"/>
              <w:right w:val="single" w:sz="4" w:space="0" w:color="auto"/>
            </w:tcBorders>
            <w:shd w:val="clear" w:color="auto" w:fill="auto"/>
            <w:vAlign w:val="center"/>
          </w:tcPr>
          <w:p w:rsidR="00124549" w:rsidRPr="00E504AD" w:rsidRDefault="00124549" w:rsidP="00124549">
            <w:pPr>
              <w:ind w:firstLine="0"/>
              <w:jc w:val="center"/>
              <w:rPr>
                <w:sz w:val="28"/>
                <w:szCs w:val="28"/>
                <w:lang w:eastAsia="ru-RU"/>
              </w:rPr>
            </w:pPr>
            <w:r w:rsidRPr="00E504AD">
              <w:rPr>
                <w:sz w:val="28"/>
                <w:szCs w:val="28"/>
                <w:lang w:eastAsia="ru-RU"/>
              </w:rPr>
              <w:t>42 322</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E504AD" w:rsidRDefault="00D51779" w:rsidP="00124549">
            <w:pPr>
              <w:shd w:val="clear" w:color="auto" w:fill="FFFFFF"/>
              <w:snapToGrid w:val="0"/>
              <w:ind w:firstLine="0"/>
              <w:jc w:val="center"/>
              <w:rPr>
                <w:sz w:val="28"/>
                <w:szCs w:val="28"/>
                <w:lang w:eastAsia="ru-RU"/>
              </w:rPr>
            </w:pPr>
            <w:r>
              <w:rPr>
                <w:sz w:val="28"/>
                <w:szCs w:val="28"/>
                <w:lang w:eastAsia="ru-RU"/>
              </w:rPr>
              <w:t>39</w:t>
            </w:r>
            <w:r w:rsidR="003B637D">
              <w:rPr>
                <w:sz w:val="28"/>
                <w:szCs w:val="28"/>
                <w:lang w:eastAsia="ru-RU"/>
              </w:rPr>
              <w:t xml:space="preserve"> </w:t>
            </w:r>
            <w:r>
              <w:rPr>
                <w:sz w:val="28"/>
                <w:szCs w:val="28"/>
                <w:lang w:eastAsia="ru-RU"/>
              </w:rPr>
              <w:t>851</w:t>
            </w:r>
          </w:p>
        </w:tc>
      </w:tr>
      <w:tr w:rsidR="00124549" w:rsidRPr="001D4862" w:rsidTr="00BE7856">
        <w:trPr>
          <w:trHeight w:val="694"/>
        </w:trPr>
        <w:tc>
          <w:tcPr>
            <w:tcW w:w="1824" w:type="pct"/>
            <w:tcBorders>
              <w:top w:val="single" w:sz="4" w:space="0" w:color="000000"/>
              <w:left w:val="single" w:sz="4" w:space="0" w:color="000000"/>
              <w:bottom w:val="single" w:sz="4" w:space="0" w:color="000000"/>
            </w:tcBorders>
          </w:tcPr>
          <w:p w:rsidR="00124549" w:rsidRPr="00E504AD" w:rsidRDefault="00124549" w:rsidP="00124549">
            <w:pPr>
              <w:ind w:firstLine="0"/>
              <w:rPr>
                <w:sz w:val="28"/>
                <w:szCs w:val="28"/>
                <w:lang w:eastAsia="ru-RU"/>
              </w:rPr>
            </w:pPr>
            <w:r w:rsidRPr="00E504AD">
              <w:rPr>
                <w:sz w:val="28"/>
                <w:szCs w:val="28"/>
                <w:lang w:eastAsia="ru-RU"/>
              </w:rPr>
              <w:t>Численность детей в дошкольных образовательных учреждениях</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E504AD" w:rsidRDefault="00124549" w:rsidP="006F29B0">
            <w:pPr>
              <w:ind w:firstLine="0"/>
              <w:jc w:val="center"/>
              <w:rPr>
                <w:sz w:val="28"/>
                <w:szCs w:val="28"/>
                <w:lang w:eastAsia="ru-RU"/>
              </w:rPr>
            </w:pPr>
            <w:r w:rsidRPr="00E504AD">
              <w:rPr>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E504AD" w:rsidRDefault="00124549" w:rsidP="00124549">
            <w:pPr>
              <w:ind w:firstLine="0"/>
              <w:jc w:val="center"/>
              <w:rPr>
                <w:sz w:val="28"/>
                <w:szCs w:val="28"/>
                <w:lang w:eastAsia="ru-RU"/>
              </w:rPr>
            </w:pPr>
            <w:r w:rsidRPr="00E504AD">
              <w:rPr>
                <w:sz w:val="28"/>
                <w:szCs w:val="28"/>
                <w:lang w:eastAsia="ru-RU"/>
              </w:rPr>
              <w:t>32 653</w:t>
            </w:r>
          </w:p>
        </w:tc>
        <w:tc>
          <w:tcPr>
            <w:tcW w:w="784" w:type="pct"/>
            <w:tcBorders>
              <w:top w:val="nil"/>
              <w:left w:val="nil"/>
              <w:bottom w:val="single" w:sz="4" w:space="0" w:color="auto"/>
              <w:right w:val="single" w:sz="4" w:space="0" w:color="auto"/>
            </w:tcBorders>
            <w:shd w:val="clear" w:color="auto" w:fill="auto"/>
            <w:vAlign w:val="center"/>
          </w:tcPr>
          <w:p w:rsidR="00124549" w:rsidRPr="00E504AD" w:rsidRDefault="00124549" w:rsidP="00124549">
            <w:pPr>
              <w:ind w:firstLine="0"/>
              <w:jc w:val="center"/>
              <w:rPr>
                <w:sz w:val="28"/>
                <w:szCs w:val="28"/>
                <w:lang w:eastAsia="ru-RU"/>
              </w:rPr>
            </w:pPr>
            <w:r w:rsidRPr="00E504AD">
              <w:rPr>
                <w:sz w:val="28"/>
                <w:szCs w:val="28"/>
                <w:lang w:eastAsia="ru-RU"/>
              </w:rPr>
              <w:t>33</w:t>
            </w:r>
            <w:r>
              <w:rPr>
                <w:sz w:val="28"/>
                <w:szCs w:val="28"/>
                <w:lang w:eastAsia="ru-RU"/>
              </w:rPr>
              <w:t xml:space="preserve"> </w:t>
            </w:r>
            <w:r w:rsidRPr="00E504AD">
              <w:rPr>
                <w:sz w:val="28"/>
                <w:szCs w:val="28"/>
                <w:lang w:eastAsia="ru-RU"/>
              </w:rPr>
              <w:t>474</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1D4862" w:rsidRDefault="00124549" w:rsidP="00D51779">
            <w:pPr>
              <w:ind w:firstLine="0"/>
              <w:jc w:val="center"/>
              <w:rPr>
                <w:sz w:val="28"/>
                <w:szCs w:val="28"/>
                <w:highlight w:val="yellow"/>
                <w:lang w:eastAsia="ru-RU"/>
              </w:rPr>
            </w:pPr>
            <w:r w:rsidRPr="00C44B32">
              <w:rPr>
                <w:sz w:val="28"/>
                <w:szCs w:val="28"/>
                <w:lang w:eastAsia="ru-RU"/>
              </w:rPr>
              <w:t xml:space="preserve">33 </w:t>
            </w:r>
            <w:r w:rsidR="00D51779">
              <w:rPr>
                <w:sz w:val="28"/>
                <w:szCs w:val="28"/>
                <w:lang w:eastAsia="ru-RU"/>
              </w:rPr>
              <w:t>515</w:t>
            </w:r>
          </w:p>
        </w:tc>
      </w:tr>
      <w:tr w:rsidR="00124549" w:rsidRPr="001D4862" w:rsidTr="00BE7856">
        <w:trPr>
          <w:trHeight w:val="703"/>
        </w:trPr>
        <w:tc>
          <w:tcPr>
            <w:tcW w:w="1824" w:type="pct"/>
            <w:tcBorders>
              <w:top w:val="single" w:sz="4" w:space="0" w:color="000000"/>
              <w:left w:val="single" w:sz="4" w:space="0" w:color="000000"/>
              <w:bottom w:val="single" w:sz="4" w:space="0" w:color="000000"/>
            </w:tcBorders>
          </w:tcPr>
          <w:p w:rsidR="00124549" w:rsidRPr="0044547F" w:rsidRDefault="00124549" w:rsidP="00124549">
            <w:pPr>
              <w:ind w:firstLine="0"/>
              <w:rPr>
                <w:sz w:val="28"/>
                <w:szCs w:val="28"/>
                <w:lang w:eastAsia="ru-RU"/>
              </w:rPr>
            </w:pPr>
            <w:r w:rsidRPr="0044547F">
              <w:rPr>
                <w:sz w:val="28"/>
                <w:szCs w:val="28"/>
                <w:lang w:eastAsia="ru-RU"/>
              </w:rPr>
              <w:t>Численность детей, состоящих на учете для определения в дошкольные образовательные учреждения</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44547F" w:rsidRDefault="00124549" w:rsidP="006F29B0">
            <w:pPr>
              <w:ind w:firstLine="0"/>
              <w:jc w:val="center"/>
              <w:rPr>
                <w:sz w:val="28"/>
                <w:szCs w:val="28"/>
                <w:lang w:eastAsia="ru-RU"/>
              </w:rPr>
            </w:pPr>
            <w:r w:rsidRPr="0044547F">
              <w:rPr>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44547F" w:rsidRDefault="00124549" w:rsidP="00124549">
            <w:pPr>
              <w:ind w:firstLine="0"/>
              <w:jc w:val="center"/>
              <w:rPr>
                <w:sz w:val="28"/>
                <w:szCs w:val="28"/>
                <w:lang w:eastAsia="ru-RU"/>
              </w:rPr>
            </w:pPr>
            <w:r w:rsidRPr="0044547F">
              <w:rPr>
                <w:sz w:val="28"/>
                <w:szCs w:val="28"/>
                <w:lang w:eastAsia="ru-RU"/>
              </w:rPr>
              <w:t>5 585</w:t>
            </w:r>
          </w:p>
        </w:tc>
        <w:tc>
          <w:tcPr>
            <w:tcW w:w="784" w:type="pct"/>
            <w:tcBorders>
              <w:top w:val="nil"/>
              <w:left w:val="nil"/>
              <w:bottom w:val="single" w:sz="4" w:space="0" w:color="auto"/>
              <w:right w:val="single" w:sz="4" w:space="0" w:color="auto"/>
            </w:tcBorders>
            <w:shd w:val="clear" w:color="auto" w:fill="auto"/>
            <w:vAlign w:val="center"/>
          </w:tcPr>
          <w:p w:rsidR="00124549" w:rsidRPr="0044547F" w:rsidRDefault="00124549" w:rsidP="00124549">
            <w:pPr>
              <w:ind w:firstLine="0"/>
              <w:jc w:val="center"/>
              <w:rPr>
                <w:sz w:val="28"/>
                <w:szCs w:val="28"/>
                <w:lang w:eastAsia="ru-RU"/>
              </w:rPr>
            </w:pPr>
            <w:r w:rsidRPr="0044547F">
              <w:rPr>
                <w:sz w:val="28"/>
                <w:szCs w:val="28"/>
                <w:lang w:eastAsia="ru-RU"/>
              </w:rPr>
              <w:t>5 025</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44547F" w:rsidRDefault="00124549" w:rsidP="00124549">
            <w:pPr>
              <w:ind w:firstLine="0"/>
              <w:jc w:val="center"/>
              <w:rPr>
                <w:sz w:val="28"/>
                <w:szCs w:val="28"/>
                <w:lang w:eastAsia="ru-RU"/>
              </w:rPr>
            </w:pPr>
            <w:r>
              <w:rPr>
                <w:sz w:val="28"/>
                <w:szCs w:val="28"/>
                <w:lang w:eastAsia="ru-RU"/>
              </w:rPr>
              <w:t>5 367</w:t>
            </w:r>
          </w:p>
        </w:tc>
      </w:tr>
      <w:tr w:rsidR="00124549" w:rsidRPr="001D4862" w:rsidTr="00BE7856">
        <w:trPr>
          <w:trHeight w:val="347"/>
        </w:trPr>
        <w:tc>
          <w:tcPr>
            <w:tcW w:w="1824" w:type="pct"/>
            <w:tcBorders>
              <w:top w:val="single" w:sz="4" w:space="0" w:color="000000"/>
              <w:left w:val="single" w:sz="4" w:space="0" w:color="000000"/>
              <w:bottom w:val="single" w:sz="4" w:space="0" w:color="000000"/>
            </w:tcBorders>
          </w:tcPr>
          <w:p w:rsidR="00124549" w:rsidRPr="000C7FEF" w:rsidRDefault="00124549" w:rsidP="00BE7856">
            <w:pPr>
              <w:ind w:firstLine="0"/>
              <w:rPr>
                <w:sz w:val="28"/>
                <w:szCs w:val="28"/>
                <w:lang w:eastAsia="ru-RU"/>
              </w:rPr>
            </w:pPr>
            <w:r w:rsidRPr="000C7FEF">
              <w:rPr>
                <w:sz w:val="28"/>
                <w:szCs w:val="28"/>
                <w:lang w:eastAsia="ru-RU"/>
              </w:rPr>
              <w:t>в т.ч. в возрасте 3-6 лет</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0C7FEF" w:rsidRDefault="00124549" w:rsidP="006F29B0">
            <w:pPr>
              <w:ind w:firstLine="0"/>
              <w:jc w:val="center"/>
              <w:rPr>
                <w:sz w:val="28"/>
                <w:szCs w:val="28"/>
                <w:lang w:eastAsia="ru-RU"/>
              </w:rPr>
            </w:pPr>
            <w:r w:rsidRPr="000C7FEF">
              <w:rPr>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0C7FEF" w:rsidRDefault="00BE7856" w:rsidP="00BE7856">
            <w:pPr>
              <w:ind w:firstLine="0"/>
              <w:rPr>
                <w:sz w:val="28"/>
                <w:szCs w:val="28"/>
                <w:lang w:eastAsia="ru-RU"/>
              </w:rPr>
            </w:pPr>
            <w:r>
              <w:rPr>
                <w:sz w:val="28"/>
                <w:szCs w:val="28"/>
                <w:lang w:eastAsia="ru-RU"/>
              </w:rPr>
              <w:t xml:space="preserve">      </w:t>
            </w:r>
            <w:r w:rsidR="00124549" w:rsidRPr="000C7FEF">
              <w:rPr>
                <w:sz w:val="28"/>
                <w:szCs w:val="28"/>
                <w:lang w:eastAsia="ru-RU"/>
              </w:rPr>
              <w:t>219</w:t>
            </w:r>
          </w:p>
        </w:tc>
        <w:tc>
          <w:tcPr>
            <w:tcW w:w="784" w:type="pct"/>
            <w:tcBorders>
              <w:top w:val="nil"/>
              <w:left w:val="nil"/>
              <w:bottom w:val="single" w:sz="4" w:space="0" w:color="auto"/>
              <w:right w:val="single" w:sz="4" w:space="0" w:color="auto"/>
            </w:tcBorders>
            <w:shd w:val="clear" w:color="auto" w:fill="auto"/>
            <w:vAlign w:val="center"/>
          </w:tcPr>
          <w:p w:rsidR="00124549" w:rsidRPr="000C7FEF" w:rsidRDefault="00BE7856" w:rsidP="00BE7856">
            <w:pPr>
              <w:ind w:firstLine="0"/>
              <w:rPr>
                <w:sz w:val="28"/>
                <w:szCs w:val="28"/>
                <w:lang w:eastAsia="ru-RU"/>
              </w:rPr>
            </w:pPr>
            <w:r>
              <w:rPr>
                <w:sz w:val="28"/>
                <w:szCs w:val="28"/>
                <w:lang w:eastAsia="ru-RU"/>
              </w:rPr>
              <w:t xml:space="preserve">      </w:t>
            </w:r>
            <w:r w:rsidR="00124549" w:rsidRPr="000C7FEF">
              <w:rPr>
                <w:sz w:val="28"/>
                <w:szCs w:val="28"/>
                <w:lang w:eastAsia="ru-RU"/>
              </w:rPr>
              <w:t>114</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1D4862" w:rsidRDefault="00BE7856" w:rsidP="00BE7856">
            <w:pPr>
              <w:ind w:firstLine="0"/>
              <w:rPr>
                <w:sz w:val="28"/>
                <w:szCs w:val="28"/>
                <w:highlight w:val="yellow"/>
                <w:lang w:eastAsia="ru-RU"/>
              </w:rPr>
            </w:pPr>
            <w:r>
              <w:rPr>
                <w:sz w:val="28"/>
                <w:szCs w:val="28"/>
                <w:lang w:eastAsia="ru-RU"/>
              </w:rPr>
              <w:t xml:space="preserve">      </w:t>
            </w:r>
            <w:r w:rsidR="00124549" w:rsidRPr="00ED37A8">
              <w:rPr>
                <w:sz w:val="28"/>
                <w:szCs w:val="28"/>
                <w:lang w:eastAsia="ru-RU"/>
              </w:rPr>
              <w:t>294</w:t>
            </w:r>
          </w:p>
        </w:tc>
      </w:tr>
      <w:tr w:rsidR="00124549" w:rsidRPr="001D4862" w:rsidTr="00BE7856">
        <w:trPr>
          <w:trHeight w:val="703"/>
        </w:trPr>
        <w:tc>
          <w:tcPr>
            <w:tcW w:w="1824" w:type="pct"/>
            <w:tcBorders>
              <w:top w:val="single" w:sz="4" w:space="0" w:color="000000"/>
              <w:left w:val="single" w:sz="4" w:space="0" w:color="000000"/>
              <w:bottom w:val="single" w:sz="4" w:space="0" w:color="000000"/>
            </w:tcBorders>
          </w:tcPr>
          <w:p w:rsidR="00124549" w:rsidRPr="001D4862" w:rsidRDefault="00124549" w:rsidP="00BE7856">
            <w:pPr>
              <w:ind w:firstLine="0"/>
              <w:rPr>
                <w:sz w:val="28"/>
                <w:szCs w:val="28"/>
                <w:highlight w:val="yellow"/>
                <w:lang w:eastAsia="ru-RU"/>
              </w:rPr>
            </w:pPr>
            <w:r w:rsidRPr="000C7FEF">
              <w:rPr>
                <w:sz w:val="28"/>
                <w:szCs w:val="28"/>
                <w:lang w:eastAsia="ru-RU"/>
              </w:rPr>
              <w:t>Обеспеченность детей в возрасте 1-6 лет местами в ДОУ (число детей 1-6 лет, приходящихся на 1 место в ДОУ, за исключением детей 5-6 лет, обучающихся в школах)</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0C7FEF" w:rsidRDefault="00124549" w:rsidP="006F29B0">
            <w:pPr>
              <w:ind w:firstLine="0"/>
              <w:jc w:val="center"/>
              <w:rPr>
                <w:sz w:val="28"/>
                <w:szCs w:val="28"/>
                <w:lang w:eastAsia="ru-RU"/>
              </w:rPr>
            </w:pPr>
            <w:r w:rsidRPr="000C7FEF">
              <w:rPr>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0C7FEF" w:rsidRDefault="00124549" w:rsidP="009B6A02">
            <w:pPr>
              <w:rPr>
                <w:sz w:val="28"/>
                <w:szCs w:val="28"/>
                <w:lang w:eastAsia="ru-RU"/>
              </w:rPr>
            </w:pPr>
            <w:r w:rsidRPr="000C7FEF">
              <w:rPr>
                <w:sz w:val="28"/>
                <w:szCs w:val="28"/>
                <w:lang w:eastAsia="ru-RU"/>
              </w:rPr>
              <w:t>-</w:t>
            </w:r>
            <w:r w:rsidR="009B6A02" w:rsidRPr="009B6A02">
              <w:rPr>
                <w:sz w:val="28"/>
                <w:szCs w:val="28"/>
                <w:vertAlign w:val="superscript"/>
                <w:lang w:eastAsia="ru-RU"/>
              </w:rPr>
              <w:t>1</w:t>
            </w:r>
          </w:p>
        </w:tc>
        <w:tc>
          <w:tcPr>
            <w:tcW w:w="784" w:type="pct"/>
            <w:tcBorders>
              <w:top w:val="nil"/>
              <w:left w:val="nil"/>
              <w:bottom w:val="single" w:sz="4" w:space="0" w:color="auto"/>
              <w:right w:val="single" w:sz="4" w:space="0" w:color="auto"/>
            </w:tcBorders>
            <w:shd w:val="clear" w:color="auto" w:fill="auto"/>
            <w:vAlign w:val="center"/>
          </w:tcPr>
          <w:p w:rsidR="00124549" w:rsidRPr="000C7FEF" w:rsidRDefault="00BE7856" w:rsidP="00BE7856">
            <w:pPr>
              <w:ind w:firstLine="0"/>
              <w:rPr>
                <w:sz w:val="28"/>
                <w:szCs w:val="28"/>
                <w:lang w:eastAsia="ru-RU"/>
              </w:rPr>
            </w:pPr>
            <w:r>
              <w:rPr>
                <w:sz w:val="28"/>
                <w:szCs w:val="28"/>
                <w:lang w:eastAsia="ru-RU"/>
              </w:rPr>
              <w:t xml:space="preserve">        </w:t>
            </w:r>
            <w:r w:rsidR="00124549" w:rsidRPr="000C7FEF">
              <w:rPr>
                <w:sz w:val="28"/>
                <w:szCs w:val="28"/>
                <w:lang w:eastAsia="ru-RU"/>
              </w:rPr>
              <w:t>-</w:t>
            </w:r>
            <w:r w:rsidR="009B6A02" w:rsidRPr="009B6A02">
              <w:rPr>
                <w:sz w:val="28"/>
                <w:szCs w:val="28"/>
                <w:vertAlign w:val="superscript"/>
                <w:lang w:eastAsia="ru-RU"/>
              </w:rPr>
              <w:t>1</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0C7FEF" w:rsidRDefault="00124549" w:rsidP="00DA7A72">
            <w:pPr>
              <w:ind w:firstLine="0"/>
              <w:jc w:val="center"/>
              <w:rPr>
                <w:sz w:val="28"/>
                <w:szCs w:val="28"/>
                <w:lang w:eastAsia="ru-RU"/>
              </w:rPr>
            </w:pPr>
            <w:r>
              <w:rPr>
                <w:sz w:val="28"/>
                <w:szCs w:val="28"/>
                <w:lang w:eastAsia="ru-RU"/>
              </w:rPr>
              <w:t>0,98</w:t>
            </w:r>
            <w:r w:rsidR="00DA7A72">
              <w:rPr>
                <w:sz w:val="28"/>
                <w:szCs w:val="28"/>
                <w:lang w:eastAsia="ru-RU"/>
              </w:rPr>
              <w:t>4</w:t>
            </w:r>
          </w:p>
        </w:tc>
      </w:tr>
      <w:tr w:rsidR="00124549" w:rsidRPr="001D4862" w:rsidTr="00BE7856">
        <w:trPr>
          <w:trHeight w:val="526"/>
        </w:trPr>
        <w:tc>
          <w:tcPr>
            <w:tcW w:w="1824" w:type="pct"/>
            <w:tcBorders>
              <w:top w:val="single" w:sz="4" w:space="0" w:color="000000"/>
              <w:left w:val="single" w:sz="4" w:space="0" w:color="000000"/>
              <w:bottom w:val="single" w:sz="4" w:space="0" w:color="000000"/>
            </w:tcBorders>
          </w:tcPr>
          <w:p w:rsidR="00124549" w:rsidRPr="000C7FEF" w:rsidRDefault="00124549" w:rsidP="00BE7856">
            <w:pPr>
              <w:ind w:firstLine="0"/>
              <w:rPr>
                <w:sz w:val="28"/>
                <w:szCs w:val="28"/>
                <w:lang w:eastAsia="ru-RU"/>
              </w:rPr>
            </w:pPr>
            <w:r w:rsidRPr="000C7FEF">
              <w:rPr>
                <w:sz w:val="28"/>
                <w:szCs w:val="28"/>
                <w:lang w:eastAsia="ru-RU"/>
              </w:rPr>
              <w:t>Численность детей в возрасте 7-17 лет</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0C7FEF" w:rsidRDefault="00124549" w:rsidP="006F29B0">
            <w:pPr>
              <w:ind w:firstLine="0"/>
              <w:jc w:val="center"/>
              <w:rPr>
                <w:sz w:val="28"/>
                <w:szCs w:val="28"/>
                <w:lang w:eastAsia="ru-RU"/>
              </w:rPr>
            </w:pPr>
            <w:r w:rsidRPr="000C7FEF">
              <w:rPr>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0C7FEF" w:rsidRDefault="00124549" w:rsidP="009B6A02">
            <w:pPr>
              <w:ind w:firstLine="0"/>
              <w:jc w:val="center"/>
              <w:rPr>
                <w:sz w:val="28"/>
                <w:szCs w:val="28"/>
                <w:lang w:eastAsia="ru-RU"/>
              </w:rPr>
            </w:pPr>
            <w:r w:rsidRPr="000C7FEF">
              <w:rPr>
                <w:sz w:val="28"/>
                <w:szCs w:val="28"/>
                <w:lang w:eastAsia="ru-RU"/>
              </w:rPr>
              <w:t>87 657</w:t>
            </w:r>
          </w:p>
        </w:tc>
        <w:tc>
          <w:tcPr>
            <w:tcW w:w="784" w:type="pct"/>
            <w:tcBorders>
              <w:top w:val="nil"/>
              <w:left w:val="nil"/>
              <w:bottom w:val="single" w:sz="4" w:space="0" w:color="auto"/>
              <w:right w:val="single" w:sz="4" w:space="0" w:color="auto"/>
            </w:tcBorders>
            <w:shd w:val="clear" w:color="auto" w:fill="auto"/>
            <w:vAlign w:val="center"/>
          </w:tcPr>
          <w:p w:rsidR="00124549" w:rsidRPr="00ED37A8" w:rsidRDefault="00124549" w:rsidP="009B6A02">
            <w:pPr>
              <w:ind w:firstLine="0"/>
              <w:jc w:val="center"/>
              <w:rPr>
                <w:sz w:val="28"/>
                <w:szCs w:val="28"/>
                <w:lang w:eastAsia="ru-RU"/>
              </w:rPr>
            </w:pPr>
            <w:r w:rsidRPr="00ED37A8">
              <w:rPr>
                <w:sz w:val="28"/>
                <w:szCs w:val="28"/>
                <w:lang w:eastAsia="ru-RU"/>
              </w:rPr>
              <w:t>87 707</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ED37A8" w:rsidRDefault="00124549" w:rsidP="009B6A02">
            <w:pPr>
              <w:ind w:firstLine="0"/>
              <w:jc w:val="center"/>
              <w:rPr>
                <w:sz w:val="28"/>
                <w:szCs w:val="28"/>
                <w:lang w:eastAsia="ru-RU"/>
              </w:rPr>
            </w:pPr>
            <w:r w:rsidRPr="00ED37A8">
              <w:rPr>
                <w:sz w:val="28"/>
                <w:szCs w:val="28"/>
                <w:lang w:eastAsia="ru-RU"/>
              </w:rPr>
              <w:t xml:space="preserve">88 </w:t>
            </w:r>
            <w:r w:rsidR="00DA7A72">
              <w:rPr>
                <w:sz w:val="28"/>
                <w:szCs w:val="28"/>
                <w:lang w:eastAsia="ru-RU"/>
              </w:rPr>
              <w:t>587</w:t>
            </w:r>
          </w:p>
        </w:tc>
      </w:tr>
      <w:tr w:rsidR="00124549" w:rsidRPr="001D4862" w:rsidTr="00BE7856">
        <w:trPr>
          <w:trHeight w:val="703"/>
        </w:trPr>
        <w:tc>
          <w:tcPr>
            <w:tcW w:w="1824" w:type="pct"/>
            <w:tcBorders>
              <w:top w:val="single" w:sz="4" w:space="0" w:color="000000"/>
              <w:left w:val="single" w:sz="4" w:space="0" w:color="000000"/>
              <w:bottom w:val="single" w:sz="4" w:space="0" w:color="000000"/>
            </w:tcBorders>
          </w:tcPr>
          <w:p w:rsidR="00124549" w:rsidRPr="000C7FEF" w:rsidRDefault="00124549" w:rsidP="00BE7856">
            <w:pPr>
              <w:ind w:firstLine="0"/>
              <w:rPr>
                <w:sz w:val="28"/>
                <w:szCs w:val="28"/>
                <w:lang w:eastAsia="ru-RU"/>
              </w:rPr>
            </w:pPr>
            <w:r w:rsidRPr="000C7FEF">
              <w:rPr>
                <w:sz w:val="28"/>
                <w:szCs w:val="28"/>
                <w:lang w:eastAsia="ru-RU"/>
              </w:rPr>
              <w:t>Доля обучающихся в дневных муниципальных общеобразовательных учреждениях, занимающихся в первую смену</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0C7FEF" w:rsidRDefault="00124549" w:rsidP="006F29B0">
            <w:pPr>
              <w:ind w:firstLine="0"/>
              <w:jc w:val="center"/>
              <w:rPr>
                <w:sz w:val="28"/>
                <w:szCs w:val="28"/>
                <w:lang w:eastAsia="ru-RU"/>
              </w:rPr>
            </w:pPr>
            <w:r w:rsidRPr="000C7FEF">
              <w:rPr>
                <w:sz w:val="28"/>
                <w:szCs w:val="28"/>
                <w:lang w:eastAsia="ru-RU"/>
              </w:rPr>
              <w:t>%</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0C7FEF" w:rsidRDefault="00124549" w:rsidP="009B6A02">
            <w:pPr>
              <w:ind w:firstLine="0"/>
              <w:jc w:val="center"/>
              <w:rPr>
                <w:sz w:val="28"/>
                <w:szCs w:val="28"/>
                <w:lang w:eastAsia="ru-RU"/>
              </w:rPr>
            </w:pPr>
            <w:r w:rsidRPr="000C7FEF">
              <w:rPr>
                <w:sz w:val="28"/>
                <w:szCs w:val="28"/>
                <w:lang w:eastAsia="ru-RU"/>
              </w:rPr>
              <w:t>95,8</w:t>
            </w:r>
          </w:p>
        </w:tc>
        <w:tc>
          <w:tcPr>
            <w:tcW w:w="784" w:type="pct"/>
            <w:tcBorders>
              <w:top w:val="nil"/>
              <w:left w:val="nil"/>
              <w:bottom w:val="single" w:sz="4" w:space="0" w:color="auto"/>
              <w:right w:val="single" w:sz="4" w:space="0" w:color="auto"/>
            </w:tcBorders>
            <w:shd w:val="clear" w:color="auto" w:fill="auto"/>
            <w:vAlign w:val="center"/>
          </w:tcPr>
          <w:p w:rsidR="00124549" w:rsidRPr="000C7FEF" w:rsidRDefault="00124549" w:rsidP="009B6A02">
            <w:pPr>
              <w:ind w:firstLine="0"/>
              <w:jc w:val="center"/>
              <w:rPr>
                <w:sz w:val="28"/>
                <w:szCs w:val="28"/>
                <w:lang w:eastAsia="ru-RU"/>
              </w:rPr>
            </w:pPr>
            <w:r w:rsidRPr="000C7FEF">
              <w:rPr>
                <w:sz w:val="28"/>
                <w:szCs w:val="28"/>
                <w:lang w:eastAsia="ru-RU"/>
              </w:rPr>
              <w:t>96,3</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0C7FEF" w:rsidRDefault="00124549" w:rsidP="009B6A02">
            <w:pPr>
              <w:ind w:firstLine="0"/>
              <w:jc w:val="center"/>
              <w:rPr>
                <w:sz w:val="28"/>
                <w:szCs w:val="28"/>
                <w:lang w:eastAsia="ru-RU"/>
              </w:rPr>
            </w:pPr>
            <w:r w:rsidRPr="000C7FEF">
              <w:rPr>
                <w:sz w:val="28"/>
                <w:szCs w:val="28"/>
                <w:lang w:eastAsia="ru-RU"/>
              </w:rPr>
              <w:t>95,8</w:t>
            </w:r>
          </w:p>
        </w:tc>
      </w:tr>
      <w:tr w:rsidR="00124549" w:rsidRPr="001D4862" w:rsidTr="00BE7856">
        <w:trPr>
          <w:trHeight w:val="70"/>
        </w:trPr>
        <w:tc>
          <w:tcPr>
            <w:tcW w:w="1824" w:type="pct"/>
            <w:tcBorders>
              <w:top w:val="single" w:sz="4" w:space="0" w:color="000000"/>
              <w:left w:val="single" w:sz="4" w:space="0" w:color="000000"/>
              <w:bottom w:val="single" w:sz="4" w:space="0" w:color="000000"/>
            </w:tcBorders>
          </w:tcPr>
          <w:p w:rsidR="00124549" w:rsidRPr="00112A85" w:rsidRDefault="00124549" w:rsidP="00BE7856">
            <w:pPr>
              <w:ind w:firstLine="0"/>
              <w:rPr>
                <w:sz w:val="28"/>
                <w:szCs w:val="28"/>
                <w:lang w:eastAsia="ru-RU"/>
              </w:rPr>
            </w:pPr>
            <w:r w:rsidRPr="00112A85">
              <w:rPr>
                <w:sz w:val="28"/>
                <w:szCs w:val="28"/>
                <w:lang w:eastAsia="ru-RU"/>
              </w:rPr>
              <w:t>Охват дополнительным образованием детей в возрасте 5-18 лет</w:t>
            </w:r>
          </w:p>
        </w:tc>
        <w:tc>
          <w:tcPr>
            <w:tcW w:w="776" w:type="pct"/>
            <w:tcBorders>
              <w:top w:val="single" w:sz="4" w:space="0" w:color="000000"/>
              <w:left w:val="single" w:sz="4" w:space="0" w:color="000000"/>
              <w:bottom w:val="single" w:sz="4" w:space="0" w:color="000000"/>
              <w:right w:val="single" w:sz="4" w:space="0" w:color="000000"/>
            </w:tcBorders>
            <w:vAlign w:val="center"/>
          </w:tcPr>
          <w:p w:rsidR="00124549" w:rsidRPr="00112A85" w:rsidRDefault="00124549" w:rsidP="006F29B0">
            <w:pPr>
              <w:ind w:firstLine="0"/>
              <w:jc w:val="center"/>
              <w:rPr>
                <w:sz w:val="28"/>
                <w:szCs w:val="28"/>
                <w:lang w:eastAsia="ru-RU"/>
              </w:rPr>
            </w:pPr>
            <w:r w:rsidRPr="00112A85">
              <w:rPr>
                <w:sz w:val="28"/>
                <w:szCs w:val="28"/>
                <w:lang w:eastAsia="ru-RU"/>
              </w:rPr>
              <w:t>%</w:t>
            </w:r>
          </w:p>
        </w:tc>
        <w:tc>
          <w:tcPr>
            <w:tcW w:w="827" w:type="pct"/>
            <w:tcBorders>
              <w:top w:val="nil"/>
              <w:left w:val="single" w:sz="4" w:space="0" w:color="auto"/>
              <w:bottom w:val="single" w:sz="4" w:space="0" w:color="auto"/>
              <w:right w:val="single" w:sz="4" w:space="0" w:color="auto"/>
            </w:tcBorders>
            <w:shd w:val="clear" w:color="auto" w:fill="auto"/>
            <w:vAlign w:val="center"/>
          </w:tcPr>
          <w:p w:rsidR="00124549" w:rsidRPr="00112A85" w:rsidRDefault="00124549" w:rsidP="009B6A02">
            <w:pPr>
              <w:ind w:firstLine="0"/>
              <w:jc w:val="center"/>
              <w:rPr>
                <w:sz w:val="28"/>
                <w:szCs w:val="28"/>
                <w:lang w:eastAsia="ru-RU"/>
              </w:rPr>
            </w:pPr>
            <w:r w:rsidRPr="00112A85">
              <w:rPr>
                <w:sz w:val="28"/>
                <w:szCs w:val="28"/>
                <w:lang w:eastAsia="ru-RU"/>
              </w:rPr>
              <w:t>82,0</w:t>
            </w:r>
          </w:p>
        </w:tc>
        <w:tc>
          <w:tcPr>
            <w:tcW w:w="784" w:type="pct"/>
            <w:tcBorders>
              <w:top w:val="nil"/>
              <w:left w:val="nil"/>
              <w:bottom w:val="single" w:sz="4" w:space="0" w:color="auto"/>
              <w:right w:val="single" w:sz="4" w:space="0" w:color="auto"/>
            </w:tcBorders>
            <w:shd w:val="clear" w:color="auto" w:fill="auto"/>
            <w:vAlign w:val="center"/>
          </w:tcPr>
          <w:p w:rsidR="00124549" w:rsidRPr="00112A85" w:rsidRDefault="00124549" w:rsidP="009B6A02">
            <w:pPr>
              <w:ind w:firstLine="0"/>
              <w:jc w:val="center"/>
              <w:rPr>
                <w:sz w:val="28"/>
                <w:szCs w:val="28"/>
                <w:lang w:eastAsia="ru-RU"/>
              </w:rPr>
            </w:pPr>
            <w:r w:rsidRPr="00112A85">
              <w:rPr>
                <w:sz w:val="28"/>
                <w:szCs w:val="28"/>
                <w:lang w:eastAsia="ru-RU"/>
              </w:rPr>
              <w:t>83,0</w:t>
            </w:r>
          </w:p>
        </w:tc>
        <w:tc>
          <w:tcPr>
            <w:tcW w:w="788" w:type="pct"/>
            <w:tcBorders>
              <w:top w:val="single" w:sz="4" w:space="0" w:color="000000"/>
              <w:left w:val="single" w:sz="4" w:space="0" w:color="000000"/>
              <w:bottom w:val="single" w:sz="4" w:space="0" w:color="000000"/>
              <w:right w:val="single" w:sz="4" w:space="0" w:color="auto"/>
            </w:tcBorders>
            <w:vAlign w:val="center"/>
          </w:tcPr>
          <w:p w:rsidR="00124549" w:rsidRPr="001D4862" w:rsidRDefault="00124549" w:rsidP="009B6A02">
            <w:pPr>
              <w:ind w:firstLine="0"/>
              <w:jc w:val="center"/>
              <w:rPr>
                <w:sz w:val="28"/>
                <w:szCs w:val="28"/>
                <w:highlight w:val="yellow"/>
                <w:lang w:eastAsia="ru-RU"/>
              </w:rPr>
            </w:pPr>
            <w:r w:rsidRPr="00B37786">
              <w:rPr>
                <w:sz w:val="28"/>
                <w:szCs w:val="28"/>
                <w:lang w:eastAsia="ru-RU"/>
              </w:rPr>
              <w:t>87,0</w:t>
            </w:r>
          </w:p>
        </w:tc>
      </w:tr>
    </w:tbl>
    <w:p w:rsidR="009B6A02" w:rsidRPr="005B4448" w:rsidRDefault="009B6A02" w:rsidP="009B6A02">
      <w:pPr>
        <w:widowControl w:val="0"/>
        <w:suppressAutoHyphens w:val="0"/>
        <w:spacing w:line="276" w:lineRule="auto"/>
        <w:rPr>
          <w:sz w:val="22"/>
          <w:szCs w:val="22"/>
          <w:lang w:eastAsia="ar-SA"/>
        </w:rPr>
      </w:pPr>
      <w:r w:rsidRPr="005B4448">
        <w:rPr>
          <w:sz w:val="22"/>
          <w:szCs w:val="22"/>
          <w:vertAlign w:val="superscript"/>
          <w:lang w:eastAsia="ar-SA"/>
        </w:rPr>
        <w:t>1</w:t>
      </w:r>
      <w:r w:rsidRPr="005B4448">
        <w:rPr>
          <w:sz w:val="22"/>
          <w:szCs w:val="22"/>
          <w:lang w:eastAsia="ar-SA"/>
        </w:rPr>
        <w:t xml:space="preserve">- включено в соответствии с постановлением администрации городского округа Тольятти </w:t>
      </w:r>
      <w:r w:rsidRPr="005B4448">
        <w:rPr>
          <w:rFonts w:eastAsia="Calibri"/>
          <w:sz w:val="22"/>
          <w:szCs w:val="22"/>
          <w:lang w:eastAsia="en-US"/>
        </w:rPr>
        <w:t>от 19.09.2022 № 2171-п/1</w:t>
      </w:r>
      <w:r w:rsidRPr="005B4448">
        <w:rPr>
          <w:szCs w:val="24"/>
          <w:lang w:eastAsia="ar-SA"/>
        </w:rPr>
        <w:t xml:space="preserve"> «О</w:t>
      </w:r>
      <w:r w:rsidRPr="005B4448">
        <w:rPr>
          <w:sz w:val="22"/>
          <w:szCs w:val="22"/>
          <w:lang w:eastAsia="ar-SA"/>
        </w:rPr>
        <w:t xml:space="preserve">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p>
    <w:p w:rsidR="00124549" w:rsidRDefault="00124549" w:rsidP="00124549">
      <w:pPr>
        <w:spacing w:line="276" w:lineRule="auto"/>
        <w:rPr>
          <w:sz w:val="28"/>
          <w:szCs w:val="28"/>
          <w:lang w:eastAsia="ru-RU"/>
        </w:rPr>
      </w:pPr>
    </w:p>
    <w:p w:rsidR="00124549" w:rsidRPr="00E504AD" w:rsidRDefault="00124549" w:rsidP="00124549">
      <w:pPr>
        <w:spacing w:line="276" w:lineRule="auto"/>
        <w:rPr>
          <w:sz w:val="28"/>
          <w:szCs w:val="28"/>
          <w:lang w:eastAsia="ru-RU"/>
        </w:rPr>
      </w:pPr>
      <w:r w:rsidRPr="00E504AD">
        <w:rPr>
          <w:sz w:val="28"/>
          <w:szCs w:val="28"/>
          <w:lang w:eastAsia="ru-RU"/>
        </w:rPr>
        <w:t>Показатели отрасли «Образование» скорректированы с учетом фактически сложившихся значений за 2021 год и за истекший период 2022 года.</w:t>
      </w:r>
    </w:p>
    <w:p w:rsidR="00124549" w:rsidRPr="00C44B32" w:rsidRDefault="00124549" w:rsidP="00124549">
      <w:pPr>
        <w:spacing w:line="276" w:lineRule="auto"/>
        <w:rPr>
          <w:sz w:val="28"/>
          <w:szCs w:val="28"/>
          <w:lang w:eastAsia="ru-RU"/>
        </w:rPr>
      </w:pPr>
      <w:r w:rsidRPr="00E504AD">
        <w:rPr>
          <w:sz w:val="28"/>
          <w:szCs w:val="28"/>
          <w:lang w:eastAsia="ru-RU"/>
        </w:rPr>
        <w:t>Показател</w:t>
      </w:r>
      <w:r>
        <w:rPr>
          <w:sz w:val="28"/>
          <w:szCs w:val="28"/>
          <w:lang w:eastAsia="ru-RU"/>
        </w:rPr>
        <w:t>ь</w:t>
      </w:r>
      <w:r w:rsidRPr="00E504AD">
        <w:rPr>
          <w:sz w:val="28"/>
          <w:szCs w:val="28"/>
          <w:lang w:eastAsia="ru-RU"/>
        </w:rPr>
        <w:t xml:space="preserve"> </w:t>
      </w:r>
      <w:r>
        <w:rPr>
          <w:sz w:val="28"/>
          <w:szCs w:val="28"/>
          <w:lang w:eastAsia="ru-RU"/>
        </w:rPr>
        <w:t>«Ч</w:t>
      </w:r>
      <w:r w:rsidRPr="00E504AD">
        <w:rPr>
          <w:sz w:val="28"/>
          <w:szCs w:val="28"/>
          <w:lang w:eastAsia="ru-RU"/>
        </w:rPr>
        <w:t>исленность детей в возрасте 1-6 лет</w:t>
      </w:r>
      <w:r>
        <w:rPr>
          <w:sz w:val="28"/>
          <w:szCs w:val="28"/>
          <w:lang w:eastAsia="ru-RU"/>
        </w:rPr>
        <w:t>»</w:t>
      </w:r>
      <w:r w:rsidRPr="00E504AD">
        <w:rPr>
          <w:sz w:val="28"/>
          <w:szCs w:val="28"/>
          <w:lang w:eastAsia="ru-RU"/>
        </w:rPr>
        <w:t xml:space="preserve"> скорректирован относительно прогнозируемых в 2021 году</w:t>
      </w:r>
      <w:r>
        <w:rPr>
          <w:sz w:val="28"/>
          <w:szCs w:val="28"/>
          <w:lang w:eastAsia="ru-RU"/>
        </w:rPr>
        <w:t xml:space="preserve"> значений </w:t>
      </w:r>
      <w:r w:rsidRPr="00E504AD">
        <w:rPr>
          <w:sz w:val="28"/>
          <w:szCs w:val="28"/>
          <w:lang w:eastAsia="ru-RU"/>
        </w:rPr>
        <w:t>в сторону уменьшения, в основном за счет сокращения численности детей в городе (рождаемость, миграция).</w:t>
      </w:r>
    </w:p>
    <w:p w:rsidR="00124549" w:rsidRDefault="00124549" w:rsidP="00124549">
      <w:pPr>
        <w:spacing w:line="276" w:lineRule="auto"/>
        <w:rPr>
          <w:sz w:val="28"/>
          <w:szCs w:val="28"/>
          <w:lang w:eastAsia="ru-RU"/>
        </w:rPr>
      </w:pPr>
      <w:r w:rsidRPr="00994A53">
        <w:rPr>
          <w:sz w:val="28"/>
          <w:szCs w:val="28"/>
          <w:lang w:eastAsia="ru-RU"/>
        </w:rPr>
        <w:t>Показатель «Численность детей в дошкольных образовательных учреждениях»</w:t>
      </w:r>
      <w:r>
        <w:rPr>
          <w:sz w:val="28"/>
          <w:szCs w:val="28"/>
          <w:lang w:eastAsia="ru-RU"/>
        </w:rPr>
        <w:t>, а также «</w:t>
      </w:r>
      <w:r w:rsidRPr="000C7FEF">
        <w:rPr>
          <w:sz w:val="28"/>
          <w:szCs w:val="28"/>
          <w:lang w:eastAsia="ru-RU"/>
        </w:rPr>
        <w:t>Численность детей в возрасте 7-17 лет</w:t>
      </w:r>
      <w:r>
        <w:rPr>
          <w:sz w:val="28"/>
          <w:szCs w:val="28"/>
          <w:lang w:eastAsia="ru-RU"/>
        </w:rPr>
        <w:t>»</w:t>
      </w:r>
      <w:r w:rsidRPr="00994A53">
        <w:rPr>
          <w:sz w:val="28"/>
          <w:szCs w:val="28"/>
          <w:lang w:eastAsia="ru-RU"/>
        </w:rPr>
        <w:t xml:space="preserve"> незначительно скорректирован </w:t>
      </w:r>
      <w:r>
        <w:rPr>
          <w:sz w:val="28"/>
          <w:szCs w:val="28"/>
          <w:lang w:eastAsia="ru-RU"/>
        </w:rPr>
        <w:t xml:space="preserve">в сторону увеличения </w:t>
      </w:r>
      <w:r w:rsidRPr="00994A53">
        <w:rPr>
          <w:sz w:val="28"/>
          <w:szCs w:val="28"/>
          <w:lang w:eastAsia="ru-RU"/>
        </w:rPr>
        <w:t xml:space="preserve">относительно предыдущего года с учетом фактически сложившихся значений за 2021 год и </w:t>
      </w:r>
      <w:r w:rsidRPr="00EB3C3F">
        <w:rPr>
          <w:sz w:val="28"/>
          <w:szCs w:val="28"/>
          <w:lang w:eastAsia="ru-RU"/>
        </w:rPr>
        <w:t>за истекший период 2022 года.</w:t>
      </w:r>
    </w:p>
    <w:p w:rsidR="00124549" w:rsidRDefault="00124549" w:rsidP="00124549">
      <w:pPr>
        <w:spacing w:line="276" w:lineRule="auto"/>
        <w:rPr>
          <w:sz w:val="28"/>
          <w:szCs w:val="28"/>
          <w:lang w:eastAsia="ru-RU"/>
        </w:rPr>
      </w:pPr>
      <w:r w:rsidRPr="008528BC">
        <w:rPr>
          <w:sz w:val="28"/>
          <w:szCs w:val="28"/>
          <w:lang w:eastAsia="ru-RU"/>
        </w:rPr>
        <w:t>Численность детей, состоящих на учете для определения в дошкольные образовательные учреждения в возрасте 3-6 лет увеличен относительно прошлогоднего прогноза в связи с ожиданием мест в конкретных детских садах (преимущественно кварталах-новостройках).</w:t>
      </w:r>
    </w:p>
    <w:p w:rsidR="00124549" w:rsidRPr="00EB3C3F" w:rsidRDefault="00124549" w:rsidP="00124549">
      <w:pPr>
        <w:spacing w:line="276" w:lineRule="auto"/>
        <w:rPr>
          <w:sz w:val="28"/>
          <w:szCs w:val="28"/>
          <w:lang w:eastAsia="ru-RU"/>
        </w:rPr>
      </w:pPr>
      <w:r w:rsidRPr="00EB3C3F">
        <w:rPr>
          <w:sz w:val="28"/>
          <w:szCs w:val="28"/>
          <w:lang w:eastAsia="ru-RU"/>
        </w:rPr>
        <w:t xml:space="preserve">Сводный показатель охвата дополнительным образованием детей в возрасте от 5 до 18 лет к концу 2022 года скорректирован относительно прогнозируемых в 2021 году на 4,0 процентных пункта (относительно базового варианта прогноза) и составил 87,0% (целевое значение показателя регионального проекта «Успех каждого ребенка» национального проекта «Образование» на 2022 год). </w:t>
      </w:r>
    </w:p>
    <w:p w:rsidR="00124549" w:rsidRPr="001D4862" w:rsidRDefault="00EA1766" w:rsidP="006F29B0">
      <w:pPr>
        <w:spacing w:after="120" w:line="276" w:lineRule="auto"/>
        <w:rPr>
          <w:sz w:val="28"/>
          <w:szCs w:val="28"/>
          <w:lang w:eastAsia="ru-RU"/>
        </w:rPr>
      </w:pPr>
      <w:r>
        <w:rPr>
          <w:sz w:val="28"/>
          <w:szCs w:val="28"/>
          <w:lang w:eastAsia="ru-RU"/>
        </w:rPr>
        <w:t>П</w:t>
      </w:r>
      <w:r w:rsidR="00124549" w:rsidRPr="00EB3C3F">
        <w:rPr>
          <w:sz w:val="28"/>
          <w:szCs w:val="28"/>
          <w:lang w:eastAsia="ru-RU"/>
        </w:rPr>
        <w:t>оказатель охвата дополнительным образованием детей в возрасте от 5 до 18 лет включает численность детей по учреждениям отраслей «Образование», «Культура» и «Физкультура», а также организациям, имеющим право на осуществление деятельности по дополнительным общеобразовательным программам (согласно лицензии): учреждения дошкольного образования (муниципальные детские сады, детские сады АНО ДО «Планета детства «Лада»), общеобразовательные учреждения (муниципальные, частные, негосударственные), учреждения среднего профессионального образования, ФГБОУ Тольяттинский государственный университет, школы-интернаты, реабилитационные центры и другие.</w:t>
      </w:r>
    </w:p>
    <w:p w:rsidR="00A50BA4" w:rsidRPr="003C76CA" w:rsidRDefault="00A50BA4" w:rsidP="006F29B0">
      <w:pPr>
        <w:pStyle w:val="3"/>
        <w:spacing w:after="120"/>
        <w:ind w:left="0" w:firstLine="0"/>
        <w:rPr>
          <w:sz w:val="28"/>
          <w:szCs w:val="28"/>
        </w:rPr>
      </w:pPr>
      <w:r w:rsidRPr="003C76CA">
        <w:rPr>
          <w:sz w:val="28"/>
          <w:szCs w:val="28"/>
        </w:rPr>
        <w:t>Культура</w:t>
      </w:r>
      <w:bookmarkStart w:id="14" w:name="культ"/>
      <w:bookmarkEnd w:id="14"/>
    </w:p>
    <w:p w:rsidR="00963376" w:rsidRDefault="00963376" w:rsidP="006F29B0">
      <w:pPr>
        <w:suppressAutoHyphens w:val="0"/>
        <w:spacing w:line="276" w:lineRule="auto"/>
        <w:rPr>
          <w:sz w:val="28"/>
          <w:szCs w:val="28"/>
        </w:rPr>
      </w:pPr>
      <w:r w:rsidRPr="003E2962">
        <w:rPr>
          <w:sz w:val="28"/>
          <w:szCs w:val="28"/>
        </w:rPr>
        <w:t xml:space="preserve">Сеть муниципальных учреждений по отрасли «Культура» в настоящее время включает в себя 30 учреждений, в том числе: 17 муниципальных образовательных учреждений дополнительного образования детей; 3 муниципальных учреждения культурно-досугового типа; 3 муниципальных музея; 4 муниципальных театра; 1 парк (МАУК «Парковый комплекс истории техники имени К.С. Сахарова»), </w:t>
      </w:r>
      <w:r>
        <w:rPr>
          <w:sz w:val="28"/>
          <w:szCs w:val="28"/>
        </w:rPr>
        <w:t>2 библиотечные системы в составе которых функционирует 42 библиотеки без права юридического лица (</w:t>
      </w:r>
      <w:r w:rsidRPr="003E2962">
        <w:rPr>
          <w:sz w:val="28"/>
          <w:szCs w:val="28"/>
        </w:rPr>
        <w:t>МБУК «Библиотеки Тольятти» - 28 библиотек, МБУК «Объединение де</w:t>
      </w:r>
      <w:r>
        <w:rPr>
          <w:sz w:val="28"/>
          <w:szCs w:val="28"/>
        </w:rPr>
        <w:t>тских библиотек» - 14 библиотек</w:t>
      </w:r>
      <w:r w:rsidRPr="003E2962">
        <w:rPr>
          <w:sz w:val="28"/>
          <w:szCs w:val="28"/>
        </w:rPr>
        <w:t>, также 1 библиотека без права юридического лица функционирует в составе культурно-досугового учреждения МАУ «Культурный центр «Автоград»</w:t>
      </w:r>
      <w:r>
        <w:rPr>
          <w:sz w:val="28"/>
          <w:szCs w:val="28"/>
        </w:rPr>
        <w:t>)</w:t>
      </w:r>
      <w:r w:rsidRPr="003E2962">
        <w:rPr>
          <w:sz w:val="28"/>
          <w:szCs w:val="28"/>
        </w:rPr>
        <w:t>.</w:t>
      </w:r>
    </w:p>
    <w:p w:rsidR="00963376" w:rsidRPr="0052769D" w:rsidRDefault="00963376" w:rsidP="006F29B0">
      <w:pPr>
        <w:spacing w:line="276" w:lineRule="auto"/>
        <w:rPr>
          <w:sz w:val="28"/>
          <w:szCs w:val="28"/>
        </w:rPr>
      </w:pPr>
      <w:r w:rsidRPr="0052769D">
        <w:rPr>
          <w:sz w:val="28"/>
          <w:szCs w:val="28"/>
        </w:rPr>
        <w:t>Постановлением администрации городского округа Тольятти исключено МБУИиК городского округа Тольятти «Тольяттинская Филармония» в связи с изменением организационно-правовой формы и наименования юридического лица на государственное бюджетное учреждение культуры Самарской области «Тольяттинская государственная Филармония».</w:t>
      </w:r>
    </w:p>
    <w:p w:rsidR="00963376" w:rsidRDefault="00963376" w:rsidP="006F29B0">
      <w:pPr>
        <w:spacing w:line="276" w:lineRule="auto"/>
        <w:rPr>
          <w:sz w:val="28"/>
          <w:szCs w:val="28"/>
        </w:rPr>
      </w:pPr>
      <w:r w:rsidRPr="0052769D">
        <w:rPr>
          <w:sz w:val="28"/>
          <w:szCs w:val="28"/>
        </w:rPr>
        <w:t>Постановлением администрации городского округа Тольятти от 04.07.2022 №1389-п/1 муниципальное бюджетное образовательное учреждение высшего образования городского округа Тольятти «Тольяттинская консерватория» находится в стации ликвидации. Срок – до 31.12.2022.</w:t>
      </w:r>
    </w:p>
    <w:p w:rsidR="00963376" w:rsidRPr="0052769D" w:rsidRDefault="00963376" w:rsidP="006F29B0">
      <w:pPr>
        <w:spacing w:line="276" w:lineRule="auto"/>
        <w:rPr>
          <w:sz w:val="28"/>
          <w:szCs w:val="28"/>
        </w:rPr>
      </w:pPr>
      <w:r w:rsidRPr="0052769D">
        <w:rPr>
          <w:sz w:val="28"/>
          <w:szCs w:val="28"/>
        </w:rPr>
        <w:t xml:space="preserve">Основные направления деятельности учреждений отрасли «Культура» в зависимости от типа учреждения это: предоставление образовательных услуг в сфере культуры и искусства, организация досуга, приобщение жителей к творчеству, культурному развитию и самообразованию, просветительской и научно-исследовательской деятельности, в том числе по популяризации культурного наследия, организация библиотечного обслуживания населения. </w:t>
      </w:r>
    </w:p>
    <w:p w:rsidR="00963376" w:rsidRPr="00A23DE1" w:rsidRDefault="00963376" w:rsidP="00963376">
      <w:pPr>
        <w:suppressAutoHyphens w:val="0"/>
        <w:spacing w:line="276" w:lineRule="auto"/>
        <w:rPr>
          <w:sz w:val="28"/>
          <w:szCs w:val="28"/>
          <w:lang w:eastAsia="ru-RU"/>
        </w:rPr>
      </w:pPr>
      <w:r w:rsidRPr="00A23DE1">
        <w:rPr>
          <w:sz w:val="28"/>
          <w:szCs w:val="28"/>
          <w:lang w:eastAsia="ru-RU"/>
        </w:rPr>
        <w:t xml:space="preserve">Обеспеченность общедоступными библиотеками в 2022 году составила 0,63 учреждение на 10 тыс. населения. </w:t>
      </w:r>
      <w:r>
        <w:rPr>
          <w:sz w:val="28"/>
          <w:szCs w:val="28"/>
          <w:lang w:eastAsia="ru-RU"/>
        </w:rPr>
        <w:t>При сохранении количества общедоступных библиотек в прогнозном периоде в 2023 году ожидается обеспеченность общедоступными библиотеками на уровне 0,64 учреждение на 10 тыс. населения</w:t>
      </w:r>
      <w:r w:rsidR="009B6A02">
        <w:rPr>
          <w:sz w:val="28"/>
          <w:szCs w:val="28"/>
          <w:lang w:eastAsia="ru-RU"/>
        </w:rPr>
        <w:t xml:space="preserve"> (за счет снижения численности населения)</w:t>
      </w:r>
      <w:r>
        <w:rPr>
          <w:sz w:val="28"/>
          <w:szCs w:val="28"/>
          <w:lang w:eastAsia="ru-RU"/>
        </w:rPr>
        <w:t>.</w:t>
      </w:r>
    </w:p>
    <w:p w:rsidR="00963376" w:rsidRPr="00912F42" w:rsidRDefault="00963376" w:rsidP="00963376">
      <w:pPr>
        <w:suppressAutoHyphens w:val="0"/>
        <w:spacing w:line="276" w:lineRule="auto"/>
        <w:rPr>
          <w:sz w:val="28"/>
          <w:szCs w:val="28"/>
        </w:rPr>
      </w:pPr>
      <w:r w:rsidRPr="00D35EA9">
        <w:rPr>
          <w:sz w:val="28"/>
          <w:szCs w:val="28"/>
        </w:rPr>
        <w:t>Количество учреждений культурно-досугового типа (независимо от организационно-правовой формы, в том числе находящихся в частной собственности) в 202</w:t>
      </w:r>
      <w:r w:rsidR="009B6A02">
        <w:rPr>
          <w:sz w:val="28"/>
          <w:szCs w:val="28"/>
        </w:rPr>
        <w:t>2</w:t>
      </w:r>
      <w:r w:rsidRPr="00D35EA9">
        <w:rPr>
          <w:sz w:val="28"/>
          <w:szCs w:val="28"/>
        </w:rPr>
        <w:t xml:space="preserve"> году не измен</w:t>
      </w:r>
      <w:r w:rsidR="009B6A02">
        <w:rPr>
          <w:sz w:val="28"/>
          <w:szCs w:val="28"/>
        </w:rPr>
        <w:t>и</w:t>
      </w:r>
      <w:r w:rsidRPr="00D35EA9">
        <w:rPr>
          <w:sz w:val="28"/>
          <w:szCs w:val="28"/>
        </w:rPr>
        <w:t>лось и составило – 5 единиц:  муниципальное бюджетное  учреждение (МБУК «ДЦ «Русич»), 2 муниципальных автономных учреждения  (МАУ КДЦ «Буревестник», МАУ «КЦ «Автоград»), 2 организации иных форм собственности (ОАО ДК «Тольятти» им. Н.В. Абрамова, ЧУ ЦО «Тольяттиазот»). Обеспеченность учреждениями культурно-досугового типа составила 0,07 учреждений на 10 тыс</w:t>
      </w:r>
      <w:r w:rsidRPr="00912F42">
        <w:rPr>
          <w:sz w:val="28"/>
          <w:szCs w:val="28"/>
        </w:rPr>
        <w:t xml:space="preserve">. населения.  </w:t>
      </w:r>
    </w:p>
    <w:p w:rsidR="00963376" w:rsidRDefault="00963376" w:rsidP="00963376">
      <w:pPr>
        <w:suppressAutoHyphens w:val="0"/>
        <w:spacing w:line="276" w:lineRule="auto"/>
        <w:rPr>
          <w:sz w:val="28"/>
          <w:szCs w:val="28"/>
          <w:lang w:eastAsia="ru-RU"/>
        </w:rPr>
      </w:pPr>
      <w:r w:rsidRPr="00912F42">
        <w:rPr>
          <w:sz w:val="28"/>
          <w:szCs w:val="28"/>
          <w:lang w:eastAsia="ru-RU"/>
        </w:rPr>
        <w:t xml:space="preserve">Деятельность муниципальных учреждений культуры и искусства выстраивается с учетом проведения в Российской Федерации Десятилетия детства, памятных и праздничных дат федерального, регионального и муниципального значения. Для муниципальных учреждений культуры и искусства приоритетной задачей является организация деятельности по выполнению показателей, установленных Национальными проектами, разработанными </w:t>
      </w:r>
      <w:r w:rsidRPr="001A56C9">
        <w:rPr>
          <w:sz w:val="28"/>
          <w:szCs w:val="28"/>
          <w:lang w:eastAsia="ru-RU"/>
        </w:rPr>
        <w:t>в рамках реализации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963376" w:rsidRPr="00DC61FF" w:rsidRDefault="00963376" w:rsidP="00963376">
      <w:pPr>
        <w:suppressAutoHyphens w:val="0"/>
        <w:spacing w:line="276" w:lineRule="auto"/>
        <w:rPr>
          <w:sz w:val="28"/>
          <w:szCs w:val="28"/>
          <w:lang w:eastAsia="ru-RU"/>
        </w:rPr>
      </w:pPr>
      <w:r w:rsidRPr="00DC61FF">
        <w:rPr>
          <w:sz w:val="28"/>
          <w:szCs w:val="28"/>
          <w:lang w:eastAsia="ru-RU"/>
        </w:rPr>
        <w:t xml:space="preserve">В рамках реализации национального проекта «Культура» установлен целевой показатель по поэтапному увеличению количества посещений культурных мероприятий, которое к 2030 году должно увеличиться в три раза по сравнению с показателем 2019 года. В соответствии с методикой расчета, показатель является суммой посещений культурных мероприятий учреждений/организаций культуры всех типов (библиотеки, музеи, театрально-концертные организации, культурно-досуговые учреждения, парковый комплекс, детские школы искусств, образовательные организации высшего образования) и учитывает число обращений к цифровым ресурсам в сфере культуры (по данным счетчика PRO.Культура). </w:t>
      </w:r>
    </w:p>
    <w:p w:rsidR="00963376" w:rsidRDefault="00963376" w:rsidP="00963376">
      <w:pPr>
        <w:suppressAutoHyphens w:val="0"/>
        <w:spacing w:line="276" w:lineRule="auto"/>
        <w:rPr>
          <w:sz w:val="28"/>
          <w:szCs w:val="28"/>
          <w:lang w:eastAsia="ru-RU"/>
        </w:rPr>
      </w:pPr>
      <w:r w:rsidRPr="00DC61FF">
        <w:rPr>
          <w:sz w:val="28"/>
          <w:szCs w:val="28"/>
          <w:lang w:eastAsia="ru-RU"/>
        </w:rPr>
        <w:t>Для образовательных учреждений сферы культура также актуальной является реализация Концепции развития дополнительного образования детей до 2030 года, утвержденная распоряжением Правительства РФ № 638 от 31.03.2022 г.</w:t>
      </w:r>
    </w:p>
    <w:p w:rsidR="00963376" w:rsidRPr="0090094E" w:rsidRDefault="00963376" w:rsidP="00963376">
      <w:pPr>
        <w:pStyle w:val="aff0"/>
        <w:spacing w:line="276" w:lineRule="auto"/>
        <w:rPr>
          <w:szCs w:val="24"/>
        </w:rPr>
      </w:pPr>
      <w:r w:rsidRPr="00F248BE">
        <w:rPr>
          <w:szCs w:val="24"/>
        </w:rPr>
        <w:t xml:space="preserve">Муниципальными учреждениями культуры и искусства (музеи, театры, филармония, культурно-досуговые учреждения, </w:t>
      </w:r>
      <w:r w:rsidRPr="0090094E">
        <w:rPr>
          <w:szCs w:val="24"/>
        </w:rPr>
        <w:t xml:space="preserve">парк) в </w:t>
      </w:r>
      <w:r w:rsidRPr="0090094E">
        <w:rPr>
          <w:szCs w:val="28"/>
          <w:lang w:val="en-US" w:eastAsia="ru-RU"/>
        </w:rPr>
        <w:t>I</w:t>
      </w:r>
      <w:r w:rsidRPr="0090094E">
        <w:rPr>
          <w:szCs w:val="24"/>
        </w:rPr>
        <w:t xml:space="preserve"> полугодии 2022 года проведено 2213 мероприятий, что на 1,3% ниже показателя предыдущего года (</w:t>
      </w:r>
      <w:r w:rsidRPr="0090094E">
        <w:rPr>
          <w:szCs w:val="28"/>
          <w:lang w:val="en-US" w:eastAsia="ru-RU"/>
        </w:rPr>
        <w:t>I</w:t>
      </w:r>
      <w:r w:rsidRPr="0090094E">
        <w:rPr>
          <w:szCs w:val="24"/>
        </w:rPr>
        <w:t xml:space="preserve"> полугодие 2021 года – 2242). Количество зрителей, охваченных этими мероприятиями, выросло на 2</w:t>
      </w:r>
      <w:r>
        <w:rPr>
          <w:szCs w:val="24"/>
        </w:rPr>
        <w:t>3,8% и составило 900,1 тыс. человек</w:t>
      </w:r>
      <w:r w:rsidRPr="0090094E">
        <w:rPr>
          <w:szCs w:val="24"/>
        </w:rPr>
        <w:t xml:space="preserve"> (</w:t>
      </w:r>
      <w:r w:rsidRPr="0090094E">
        <w:rPr>
          <w:szCs w:val="28"/>
          <w:lang w:val="en-US" w:eastAsia="ru-RU"/>
        </w:rPr>
        <w:t>I</w:t>
      </w:r>
      <w:r w:rsidRPr="0090094E">
        <w:rPr>
          <w:szCs w:val="24"/>
        </w:rPr>
        <w:t xml:space="preserve"> полуг</w:t>
      </w:r>
      <w:r>
        <w:rPr>
          <w:szCs w:val="24"/>
        </w:rPr>
        <w:t>одие 2021 года – 726,8 тыс. человек</w:t>
      </w:r>
      <w:r w:rsidRPr="0090094E">
        <w:rPr>
          <w:szCs w:val="24"/>
        </w:rPr>
        <w:t>).</w:t>
      </w:r>
    </w:p>
    <w:p w:rsidR="00963376" w:rsidRPr="0090094E" w:rsidRDefault="00963376" w:rsidP="00963376">
      <w:pPr>
        <w:pStyle w:val="aff0"/>
        <w:spacing w:line="276" w:lineRule="auto"/>
        <w:rPr>
          <w:szCs w:val="24"/>
        </w:rPr>
      </w:pPr>
      <w:r w:rsidRPr="0090094E">
        <w:rPr>
          <w:szCs w:val="24"/>
        </w:rPr>
        <w:t>Муниципальные театры за отчетный период</w:t>
      </w:r>
      <w:r w:rsidRPr="002036E0">
        <w:rPr>
          <w:szCs w:val="24"/>
        </w:rPr>
        <w:t xml:space="preserve"> показали 707 спектаклей (в т.ч. – </w:t>
      </w:r>
      <w:r w:rsidRPr="0090094E">
        <w:rPr>
          <w:szCs w:val="24"/>
        </w:rPr>
        <w:t xml:space="preserve">8 премьерных), что на 5,4% выше, чем в аналогичном периоде 2021 года (671 ед.). Количество театральных зрителей выросло на </w:t>
      </w:r>
      <w:r>
        <w:rPr>
          <w:szCs w:val="24"/>
        </w:rPr>
        <w:t>32,2% и составило 50,5 тыс. человек</w:t>
      </w:r>
      <w:r w:rsidRPr="0090094E">
        <w:rPr>
          <w:szCs w:val="24"/>
        </w:rPr>
        <w:t xml:space="preserve"> (</w:t>
      </w:r>
      <w:r w:rsidRPr="0090094E">
        <w:rPr>
          <w:szCs w:val="28"/>
          <w:lang w:val="en-US" w:eastAsia="ru-RU"/>
        </w:rPr>
        <w:t>I</w:t>
      </w:r>
      <w:r w:rsidRPr="0090094E">
        <w:rPr>
          <w:szCs w:val="24"/>
        </w:rPr>
        <w:t> полу</w:t>
      </w:r>
      <w:r>
        <w:rPr>
          <w:szCs w:val="24"/>
        </w:rPr>
        <w:t>годие 2021 года – 38,2 тыс. человек</w:t>
      </w:r>
      <w:r w:rsidRPr="0090094E">
        <w:rPr>
          <w:szCs w:val="24"/>
        </w:rPr>
        <w:t>).</w:t>
      </w:r>
    </w:p>
    <w:p w:rsidR="00963376" w:rsidRDefault="00963376" w:rsidP="00963376">
      <w:pPr>
        <w:widowControl w:val="0"/>
        <w:spacing w:line="276" w:lineRule="auto"/>
        <w:rPr>
          <w:sz w:val="28"/>
          <w:szCs w:val="28"/>
          <w:lang w:eastAsia="ru-RU"/>
        </w:rPr>
      </w:pPr>
      <w:r w:rsidRPr="0090094E">
        <w:rPr>
          <w:sz w:val="28"/>
          <w:szCs w:val="28"/>
          <w:lang w:eastAsia="ru-RU"/>
        </w:rPr>
        <w:t>Парковым комплексом истории техники имени К.Г. Сахарова проведено 34 мероприятий, что на 4 мероприятие больше показателя в аналогичном периоде 2021 го</w:t>
      </w:r>
      <w:r>
        <w:rPr>
          <w:sz w:val="28"/>
          <w:szCs w:val="28"/>
          <w:lang w:eastAsia="ru-RU"/>
        </w:rPr>
        <w:t xml:space="preserve">да. Количество зрителей выросло на 10,4% и составило 148,9 тыс. человек </w:t>
      </w:r>
      <w:r w:rsidRPr="0090094E">
        <w:rPr>
          <w:sz w:val="28"/>
          <w:szCs w:val="28"/>
          <w:lang w:eastAsia="ru-RU"/>
        </w:rPr>
        <w:t>(</w:t>
      </w:r>
      <w:r w:rsidRPr="0090094E">
        <w:rPr>
          <w:sz w:val="28"/>
          <w:szCs w:val="28"/>
          <w:lang w:val="en-US" w:eastAsia="ru-RU"/>
        </w:rPr>
        <w:t>I</w:t>
      </w:r>
      <w:r w:rsidRPr="0090094E">
        <w:rPr>
          <w:sz w:val="28"/>
          <w:szCs w:val="28"/>
          <w:lang w:eastAsia="ru-RU"/>
        </w:rPr>
        <w:t xml:space="preserve"> полугодие 2021 года – 134,9 тыс. человек).</w:t>
      </w:r>
    </w:p>
    <w:p w:rsidR="00963376" w:rsidRDefault="00963376" w:rsidP="00963376">
      <w:pPr>
        <w:widowControl w:val="0"/>
        <w:spacing w:line="276" w:lineRule="auto"/>
        <w:rPr>
          <w:sz w:val="28"/>
          <w:szCs w:val="28"/>
          <w:lang w:eastAsia="ru-RU"/>
        </w:rPr>
      </w:pPr>
      <w:r w:rsidRPr="0090094E">
        <w:rPr>
          <w:sz w:val="28"/>
          <w:szCs w:val="28"/>
          <w:lang w:eastAsia="ru-RU"/>
        </w:rPr>
        <w:t>Муниципальными музеями проведено 919 мероприятий, что на 4,1% больше аналогичного показателя 2021 года (883 ед.). Количество зрителей,</w:t>
      </w:r>
      <w:r>
        <w:rPr>
          <w:sz w:val="28"/>
          <w:szCs w:val="28"/>
          <w:lang w:eastAsia="ru-RU"/>
        </w:rPr>
        <w:t xml:space="preserve"> посетивших музеи, выросло на 15,9</w:t>
      </w:r>
      <w:r w:rsidRPr="0090094E">
        <w:rPr>
          <w:sz w:val="28"/>
          <w:szCs w:val="28"/>
          <w:lang w:eastAsia="ru-RU"/>
        </w:rPr>
        <w:t>% и составило 211,6 тыс. чел</w:t>
      </w:r>
      <w:r>
        <w:rPr>
          <w:sz w:val="28"/>
          <w:szCs w:val="28"/>
          <w:lang w:eastAsia="ru-RU"/>
        </w:rPr>
        <w:t>овек</w:t>
      </w:r>
      <w:r w:rsidRPr="0090094E">
        <w:rPr>
          <w:sz w:val="28"/>
          <w:szCs w:val="28"/>
          <w:lang w:eastAsia="ru-RU"/>
        </w:rPr>
        <w:t xml:space="preserve"> (</w:t>
      </w:r>
      <w:r w:rsidRPr="0090094E">
        <w:rPr>
          <w:sz w:val="28"/>
          <w:szCs w:val="28"/>
          <w:lang w:val="en-US" w:eastAsia="ru-RU"/>
        </w:rPr>
        <w:t>I</w:t>
      </w:r>
      <w:r w:rsidRPr="0090094E">
        <w:rPr>
          <w:sz w:val="28"/>
          <w:szCs w:val="28"/>
          <w:lang w:eastAsia="ru-RU"/>
        </w:rPr>
        <w:t xml:space="preserve"> полуг</w:t>
      </w:r>
      <w:r>
        <w:rPr>
          <w:sz w:val="28"/>
          <w:szCs w:val="28"/>
          <w:lang w:eastAsia="ru-RU"/>
        </w:rPr>
        <w:t>одие 2021 года – 182,5 тыс. человек</w:t>
      </w:r>
      <w:r w:rsidRPr="0090094E">
        <w:rPr>
          <w:sz w:val="28"/>
          <w:szCs w:val="28"/>
          <w:lang w:eastAsia="ru-RU"/>
        </w:rPr>
        <w:t>).</w:t>
      </w:r>
    </w:p>
    <w:p w:rsidR="00963376" w:rsidRPr="0090094E" w:rsidRDefault="00963376" w:rsidP="00963376">
      <w:pPr>
        <w:widowControl w:val="0"/>
        <w:spacing w:line="276" w:lineRule="auto"/>
        <w:rPr>
          <w:sz w:val="28"/>
          <w:szCs w:val="28"/>
          <w:lang w:eastAsia="ru-RU"/>
        </w:rPr>
      </w:pPr>
      <w:r w:rsidRPr="0090094E">
        <w:rPr>
          <w:sz w:val="28"/>
          <w:szCs w:val="28"/>
          <w:lang w:eastAsia="ru-RU"/>
        </w:rPr>
        <w:t xml:space="preserve">Культурно-досуговыми учреждениями было проведено 532 </w:t>
      </w:r>
      <w:r w:rsidRPr="004E5B7E">
        <w:rPr>
          <w:sz w:val="28"/>
          <w:szCs w:val="28"/>
          <w:lang w:eastAsia="ru-RU"/>
        </w:rPr>
        <w:t>мероприятий, что на 0,2% больше показателя предыдущего года (531 ед.). Число зрителей увеличилось на</w:t>
      </w:r>
      <w:r w:rsidRPr="0090094E">
        <w:rPr>
          <w:sz w:val="28"/>
          <w:szCs w:val="28"/>
          <w:lang w:eastAsia="ru-RU"/>
        </w:rPr>
        <w:t xml:space="preserve"> 37,5% по сравнению с аналогическим периодом прошлого года (285,6 тыс. человек) и составило 392,8 тыс. человек.</w:t>
      </w:r>
    </w:p>
    <w:p w:rsidR="00963376" w:rsidRPr="00890AA8" w:rsidRDefault="00963376" w:rsidP="00963376">
      <w:pPr>
        <w:widowControl w:val="0"/>
        <w:spacing w:line="276" w:lineRule="auto"/>
        <w:rPr>
          <w:sz w:val="28"/>
          <w:szCs w:val="28"/>
          <w:highlight w:val="yellow"/>
          <w:lang w:eastAsia="ru-RU"/>
        </w:rPr>
      </w:pPr>
      <w:r w:rsidRPr="0013179B">
        <w:rPr>
          <w:sz w:val="28"/>
          <w:szCs w:val="28"/>
          <w:lang w:eastAsia="ru-RU"/>
        </w:rPr>
        <w:t xml:space="preserve">Библиотечный фонд муниципальных библиотек в </w:t>
      </w:r>
      <w:r w:rsidRPr="0013179B">
        <w:rPr>
          <w:sz w:val="28"/>
          <w:szCs w:val="28"/>
          <w:lang w:val="en-US" w:eastAsia="ru-RU"/>
        </w:rPr>
        <w:t>I</w:t>
      </w:r>
      <w:r w:rsidRPr="0013179B">
        <w:rPr>
          <w:sz w:val="28"/>
          <w:szCs w:val="28"/>
          <w:lang w:eastAsia="ru-RU"/>
        </w:rPr>
        <w:t xml:space="preserve"> полугодии 2022 года составил </w:t>
      </w:r>
      <w:r w:rsidRPr="00AA0BD0">
        <w:rPr>
          <w:sz w:val="28"/>
          <w:szCs w:val="28"/>
          <w:lang w:eastAsia="ru-RU"/>
        </w:rPr>
        <w:t>1589,5 тыс. экз., что на 0,9% выше соответ</w:t>
      </w:r>
      <w:r>
        <w:rPr>
          <w:sz w:val="28"/>
          <w:szCs w:val="28"/>
          <w:lang w:eastAsia="ru-RU"/>
        </w:rPr>
        <w:t>ствующего периода прошлого года (1574,8 тыс. экз.).</w:t>
      </w:r>
      <w:r w:rsidRPr="00AA0BD0">
        <w:rPr>
          <w:sz w:val="28"/>
          <w:szCs w:val="28"/>
          <w:lang w:eastAsia="ru-RU"/>
        </w:rPr>
        <w:t xml:space="preserve"> Количество читателей всех муниципальных библиотек по итогам января-июня 2022 года составило 133,5 тыс. человек, что на 3,7% выше показателя за январь-июнь 2021 года (128,7 тыс. человек).</w:t>
      </w:r>
    </w:p>
    <w:p w:rsidR="00963376" w:rsidRPr="00890AA8" w:rsidRDefault="00963376" w:rsidP="00963376">
      <w:pPr>
        <w:widowControl w:val="0"/>
        <w:spacing w:line="276" w:lineRule="auto"/>
        <w:rPr>
          <w:sz w:val="28"/>
          <w:szCs w:val="28"/>
          <w:highlight w:val="yellow"/>
          <w:lang w:eastAsia="ru-RU"/>
        </w:rPr>
      </w:pPr>
      <w:r w:rsidRPr="00AA0BD0">
        <w:rPr>
          <w:sz w:val="28"/>
          <w:szCs w:val="28"/>
          <w:lang w:eastAsia="ru-RU"/>
        </w:rPr>
        <w:t xml:space="preserve">Для жителей городского округа Тольятти на открытых площадках и в концертных залах в первом полугодии 2022 года были проведены традиционные массовые мероприятия и праздники. Основными культурными событиями стали: комплекс мероприятий по празднованию Нового года, Рождества, Масленицы, 9 Мая, День города (с учетом действующих ограничительных мер). </w:t>
      </w:r>
      <w:r w:rsidRPr="00C24F77">
        <w:rPr>
          <w:sz w:val="28"/>
          <w:szCs w:val="28"/>
          <w:lang w:eastAsia="ru-RU"/>
        </w:rPr>
        <w:t xml:space="preserve">1 Мая в Парковом комплексе им К.Г.Сахарова состоялось легендарная выставка «Дорога истории – наша Победа». </w:t>
      </w:r>
    </w:p>
    <w:p w:rsidR="00E72F82" w:rsidRPr="00963376" w:rsidRDefault="00E72F82" w:rsidP="00E72F82">
      <w:pPr>
        <w:spacing w:before="120" w:after="120" w:line="276" w:lineRule="auto"/>
        <w:ind w:firstLine="0"/>
        <w:jc w:val="center"/>
        <w:rPr>
          <w:sz w:val="28"/>
          <w:szCs w:val="28"/>
        </w:rPr>
      </w:pPr>
      <w:r w:rsidRPr="00963376">
        <w:rPr>
          <w:sz w:val="28"/>
          <w:szCs w:val="28"/>
        </w:rPr>
        <w:t xml:space="preserve">Ожидаемое выполнение прогнозных показателей по разделу «Культура» </w:t>
      </w:r>
      <w:r w:rsidR="00282B08" w:rsidRPr="00963376">
        <w:rPr>
          <w:sz w:val="28"/>
          <w:szCs w:val="28"/>
        </w:rPr>
        <w:t xml:space="preserve">                 </w:t>
      </w:r>
      <w:r w:rsidRPr="00963376">
        <w:rPr>
          <w:sz w:val="28"/>
          <w:szCs w:val="28"/>
        </w:rPr>
        <w:t>на 202</w:t>
      </w:r>
      <w:r w:rsidR="00963376" w:rsidRPr="00963376">
        <w:rPr>
          <w:sz w:val="28"/>
          <w:szCs w:val="28"/>
        </w:rPr>
        <w:t>2</w:t>
      </w:r>
      <w:r w:rsidRPr="00963376">
        <w:rPr>
          <w:sz w:val="28"/>
          <w:szCs w:val="28"/>
        </w:rPr>
        <w:t xml:space="preserve">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418"/>
        <w:gridCol w:w="1417"/>
        <w:gridCol w:w="1276"/>
      </w:tblGrid>
      <w:tr w:rsidR="00963376" w:rsidRPr="00890AA8" w:rsidTr="000276A2">
        <w:trPr>
          <w:trHeight w:val="195"/>
          <w:tblHeader/>
        </w:trPr>
        <w:tc>
          <w:tcPr>
            <w:tcW w:w="3402" w:type="dxa"/>
            <w:vMerge w:val="restart"/>
            <w:vAlign w:val="center"/>
          </w:tcPr>
          <w:p w:rsidR="00963376" w:rsidRPr="00D101BD" w:rsidRDefault="00963376" w:rsidP="000276A2">
            <w:pPr>
              <w:ind w:firstLine="0"/>
              <w:jc w:val="center"/>
              <w:rPr>
                <w:sz w:val="28"/>
                <w:szCs w:val="28"/>
              </w:rPr>
            </w:pPr>
            <w:r w:rsidRPr="00D101BD">
              <w:rPr>
                <w:sz w:val="28"/>
                <w:szCs w:val="28"/>
              </w:rPr>
              <w:t>Показатели</w:t>
            </w:r>
          </w:p>
        </w:tc>
        <w:tc>
          <w:tcPr>
            <w:tcW w:w="1843" w:type="dxa"/>
            <w:vMerge w:val="restart"/>
            <w:vAlign w:val="center"/>
          </w:tcPr>
          <w:p w:rsidR="00963376" w:rsidRPr="00D101BD" w:rsidRDefault="00963376" w:rsidP="000276A2">
            <w:pPr>
              <w:ind w:firstLine="0"/>
              <w:jc w:val="center"/>
              <w:rPr>
                <w:sz w:val="28"/>
                <w:szCs w:val="28"/>
              </w:rPr>
            </w:pPr>
            <w:r w:rsidRPr="00D101BD">
              <w:rPr>
                <w:sz w:val="28"/>
                <w:szCs w:val="28"/>
              </w:rPr>
              <w:t>Единица измерения</w:t>
            </w:r>
          </w:p>
        </w:tc>
        <w:tc>
          <w:tcPr>
            <w:tcW w:w="2835" w:type="dxa"/>
            <w:gridSpan w:val="2"/>
            <w:vAlign w:val="center"/>
          </w:tcPr>
          <w:p w:rsidR="00963376" w:rsidRPr="00D101BD" w:rsidRDefault="00963376" w:rsidP="000276A2">
            <w:pPr>
              <w:ind w:firstLine="0"/>
              <w:jc w:val="center"/>
              <w:rPr>
                <w:sz w:val="28"/>
                <w:szCs w:val="28"/>
              </w:rPr>
            </w:pPr>
            <w:r w:rsidRPr="00D101BD">
              <w:rPr>
                <w:sz w:val="28"/>
                <w:szCs w:val="28"/>
              </w:rPr>
              <w:t>Прогноз на 2022 год</w:t>
            </w:r>
          </w:p>
        </w:tc>
        <w:tc>
          <w:tcPr>
            <w:tcW w:w="1276" w:type="dxa"/>
            <w:vMerge w:val="restart"/>
            <w:vAlign w:val="center"/>
          </w:tcPr>
          <w:p w:rsidR="00963376" w:rsidRPr="00D101BD" w:rsidRDefault="00963376" w:rsidP="000276A2">
            <w:pPr>
              <w:ind w:firstLine="0"/>
              <w:jc w:val="center"/>
              <w:rPr>
                <w:sz w:val="28"/>
                <w:szCs w:val="28"/>
              </w:rPr>
            </w:pPr>
            <w:r w:rsidRPr="00D101BD">
              <w:rPr>
                <w:sz w:val="28"/>
                <w:szCs w:val="28"/>
              </w:rPr>
              <w:t>2022 год (оценка)</w:t>
            </w:r>
          </w:p>
        </w:tc>
      </w:tr>
      <w:tr w:rsidR="00963376" w:rsidRPr="00890AA8" w:rsidTr="000276A2">
        <w:trPr>
          <w:trHeight w:val="195"/>
          <w:tblHeader/>
        </w:trPr>
        <w:tc>
          <w:tcPr>
            <w:tcW w:w="3402" w:type="dxa"/>
            <w:vMerge/>
            <w:vAlign w:val="center"/>
          </w:tcPr>
          <w:p w:rsidR="00963376" w:rsidRPr="00890AA8" w:rsidRDefault="00963376" w:rsidP="000276A2">
            <w:pPr>
              <w:spacing w:line="276" w:lineRule="auto"/>
              <w:ind w:firstLine="0"/>
              <w:jc w:val="center"/>
              <w:rPr>
                <w:sz w:val="28"/>
                <w:szCs w:val="28"/>
                <w:highlight w:val="yellow"/>
              </w:rPr>
            </w:pPr>
          </w:p>
        </w:tc>
        <w:tc>
          <w:tcPr>
            <w:tcW w:w="1843" w:type="dxa"/>
            <w:vMerge/>
            <w:vAlign w:val="center"/>
          </w:tcPr>
          <w:p w:rsidR="00963376" w:rsidRPr="00890AA8" w:rsidRDefault="00963376" w:rsidP="000276A2">
            <w:pPr>
              <w:spacing w:line="276" w:lineRule="auto"/>
              <w:ind w:firstLine="0"/>
              <w:jc w:val="center"/>
              <w:rPr>
                <w:sz w:val="28"/>
                <w:szCs w:val="28"/>
                <w:highlight w:val="yellow"/>
              </w:rPr>
            </w:pPr>
          </w:p>
        </w:tc>
        <w:tc>
          <w:tcPr>
            <w:tcW w:w="1418" w:type="dxa"/>
            <w:vAlign w:val="center"/>
          </w:tcPr>
          <w:p w:rsidR="00963376" w:rsidRPr="00D101BD" w:rsidRDefault="00963376" w:rsidP="000276A2">
            <w:pPr>
              <w:spacing w:line="276" w:lineRule="auto"/>
              <w:ind w:firstLine="0"/>
              <w:jc w:val="center"/>
              <w:rPr>
                <w:sz w:val="28"/>
                <w:szCs w:val="28"/>
              </w:rPr>
            </w:pPr>
            <w:r w:rsidRPr="00D101BD">
              <w:rPr>
                <w:sz w:val="28"/>
                <w:szCs w:val="28"/>
              </w:rPr>
              <w:t>консервативный</w:t>
            </w:r>
          </w:p>
        </w:tc>
        <w:tc>
          <w:tcPr>
            <w:tcW w:w="1417" w:type="dxa"/>
            <w:vAlign w:val="center"/>
          </w:tcPr>
          <w:p w:rsidR="00963376" w:rsidRPr="00D101BD" w:rsidRDefault="00963376" w:rsidP="000276A2">
            <w:pPr>
              <w:spacing w:line="276" w:lineRule="auto"/>
              <w:ind w:firstLine="0"/>
              <w:jc w:val="center"/>
              <w:rPr>
                <w:sz w:val="28"/>
                <w:szCs w:val="28"/>
              </w:rPr>
            </w:pPr>
            <w:r w:rsidRPr="00D101BD">
              <w:rPr>
                <w:sz w:val="28"/>
                <w:szCs w:val="28"/>
              </w:rPr>
              <w:t>базовый</w:t>
            </w:r>
          </w:p>
        </w:tc>
        <w:tc>
          <w:tcPr>
            <w:tcW w:w="1276" w:type="dxa"/>
            <w:vMerge/>
            <w:vAlign w:val="center"/>
          </w:tcPr>
          <w:p w:rsidR="00963376" w:rsidRPr="00890AA8" w:rsidRDefault="00963376" w:rsidP="000276A2">
            <w:pPr>
              <w:spacing w:line="276" w:lineRule="auto"/>
              <w:ind w:firstLine="0"/>
              <w:jc w:val="center"/>
              <w:rPr>
                <w:sz w:val="28"/>
                <w:szCs w:val="28"/>
                <w:highlight w:val="yellow"/>
              </w:rPr>
            </w:pPr>
          </w:p>
        </w:tc>
      </w:tr>
      <w:tr w:rsidR="00963376" w:rsidRPr="00890AA8" w:rsidTr="000276A2">
        <w:trPr>
          <w:trHeight w:val="746"/>
        </w:trPr>
        <w:tc>
          <w:tcPr>
            <w:tcW w:w="3402" w:type="dxa"/>
          </w:tcPr>
          <w:p w:rsidR="00963376" w:rsidRPr="00D101BD" w:rsidRDefault="00963376" w:rsidP="000276A2">
            <w:pPr>
              <w:ind w:firstLine="0"/>
              <w:jc w:val="left"/>
              <w:rPr>
                <w:sz w:val="28"/>
                <w:szCs w:val="28"/>
              </w:rPr>
            </w:pPr>
            <w:r w:rsidRPr="00D101BD">
              <w:rPr>
                <w:sz w:val="28"/>
                <w:szCs w:val="28"/>
              </w:rPr>
              <w:t>Обеспеченность:</w:t>
            </w:r>
          </w:p>
          <w:p w:rsidR="00963376" w:rsidRPr="00D101BD" w:rsidRDefault="00963376" w:rsidP="000276A2">
            <w:pPr>
              <w:ind w:firstLine="0"/>
              <w:jc w:val="left"/>
              <w:rPr>
                <w:sz w:val="28"/>
                <w:szCs w:val="28"/>
              </w:rPr>
            </w:pPr>
          </w:p>
          <w:p w:rsidR="00963376" w:rsidRPr="00D101BD" w:rsidRDefault="00963376" w:rsidP="000276A2">
            <w:pPr>
              <w:ind w:firstLine="0"/>
              <w:jc w:val="left"/>
              <w:rPr>
                <w:sz w:val="28"/>
                <w:szCs w:val="28"/>
              </w:rPr>
            </w:pPr>
            <w:r w:rsidRPr="00D101BD">
              <w:rPr>
                <w:sz w:val="28"/>
                <w:szCs w:val="28"/>
              </w:rPr>
              <w:t>Общедоступными библиотеками</w:t>
            </w:r>
          </w:p>
        </w:tc>
        <w:tc>
          <w:tcPr>
            <w:tcW w:w="1843" w:type="dxa"/>
            <w:vAlign w:val="bottom"/>
          </w:tcPr>
          <w:p w:rsidR="00963376" w:rsidRPr="00D101BD" w:rsidRDefault="00963376" w:rsidP="000276A2">
            <w:pPr>
              <w:ind w:firstLine="0"/>
              <w:rPr>
                <w:sz w:val="28"/>
                <w:szCs w:val="28"/>
              </w:rPr>
            </w:pPr>
          </w:p>
          <w:p w:rsidR="00963376" w:rsidRPr="00D101BD" w:rsidRDefault="00963376" w:rsidP="000276A2">
            <w:pPr>
              <w:ind w:firstLine="0"/>
              <w:jc w:val="center"/>
              <w:rPr>
                <w:sz w:val="28"/>
                <w:szCs w:val="28"/>
              </w:rPr>
            </w:pPr>
            <w:r w:rsidRPr="00D101BD">
              <w:rPr>
                <w:sz w:val="28"/>
                <w:szCs w:val="28"/>
              </w:rPr>
              <w:t>учреждений на 10 тыс. населения</w:t>
            </w:r>
          </w:p>
        </w:tc>
        <w:tc>
          <w:tcPr>
            <w:tcW w:w="1418" w:type="dxa"/>
            <w:vAlign w:val="bottom"/>
          </w:tcPr>
          <w:p w:rsidR="00963376" w:rsidRPr="00605EFE" w:rsidRDefault="00963376" w:rsidP="000276A2">
            <w:pPr>
              <w:ind w:firstLine="0"/>
              <w:jc w:val="center"/>
              <w:rPr>
                <w:sz w:val="28"/>
                <w:szCs w:val="28"/>
              </w:rPr>
            </w:pPr>
            <w:r w:rsidRPr="00605EFE">
              <w:rPr>
                <w:sz w:val="28"/>
                <w:szCs w:val="28"/>
              </w:rPr>
              <w:t>0,63</w:t>
            </w:r>
          </w:p>
        </w:tc>
        <w:tc>
          <w:tcPr>
            <w:tcW w:w="1417" w:type="dxa"/>
            <w:vAlign w:val="bottom"/>
          </w:tcPr>
          <w:p w:rsidR="00963376" w:rsidRPr="00605EFE" w:rsidRDefault="00963376" w:rsidP="000276A2">
            <w:pPr>
              <w:ind w:firstLine="0"/>
              <w:jc w:val="center"/>
              <w:rPr>
                <w:sz w:val="28"/>
                <w:szCs w:val="28"/>
              </w:rPr>
            </w:pPr>
          </w:p>
          <w:p w:rsidR="00963376" w:rsidRPr="00605EFE" w:rsidRDefault="00963376" w:rsidP="000276A2">
            <w:pPr>
              <w:ind w:firstLine="0"/>
              <w:jc w:val="center"/>
              <w:rPr>
                <w:sz w:val="28"/>
                <w:szCs w:val="28"/>
              </w:rPr>
            </w:pPr>
          </w:p>
          <w:p w:rsidR="00963376" w:rsidRPr="00605EFE" w:rsidRDefault="00963376" w:rsidP="000276A2">
            <w:pPr>
              <w:ind w:firstLine="0"/>
              <w:jc w:val="center"/>
              <w:rPr>
                <w:sz w:val="28"/>
                <w:szCs w:val="28"/>
              </w:rPr>
            </w:pPr>
            <w:r w:rsidRPr="00605EFE">
              <w:rPr>
                <w:sz w:val="28"/>
                <w:szCs w:val="28"/>
              </w:rPr>
              <w:t>0,63</w:t>
            </w:r>
          </w:p>
        </w:tc>
        <w:tc>
          <w:tcPr>
            <w:tcW w:w="1276" w:type="dxa"/>
            <w:vAlign w:val="bottom"/>
          </w:tcPr>
          <w:p w:rsidR="00963376" w:rsidRPr="00605EFE" w:rsidRDefault="00963376" w:rsidP="000276A2">
            <w:pPr>
              <w:ind w:firstLine="0"/>
              <w:jc w:val="center"/>
              <w:rPr>
                <w:sz w:val="28"/>
                <w:szCs w:val="28"/>
              </w:rPr>
            </w:pPr>
          </w:p>
          <w:p w:rsidR="00963376" w:rsidRPr="00605EFE" w:rsidRDefault="00963376" w:rsidP="000276A2">
            <w:pPr>
              <w:ind w:firstLine="0"/>
              <w:jc w:val="center"/>
              <w:rPr>
                <w:sz w:val="28"/>
                <w:szCs w:val="28"/>
              </w:rPr>
            </w:pPr>
          </w:p>
          <w:p w:rsidR="00963376" w:rsidRPr="00605EFE" w:rsidRDefault="00963376" w:rsidP="000276A2">
            <w:pPr>
              <w:ind w:firstLine="0"/>
              <w:jc w:val="center"/>
              <w:rPr>
                <w:sz w:val="28"/>
                <w:szCs w:val="28"/>
              </w:rPr>
            </w:pPr>
            <w:r w:rsidRPr="00605EFE">
              <w:rPr>
                <w:sz w:val="28"/>
                <w:szCs w:val="28"/>
              </w:rPr>
              <w:t>0,63</w:t>
            </w:r>
          </w:p>
        </w:tc>
      </w:tr>
      <w:tr w:rsidR="00963376" w:rsidRPr="00890AA8" w:rsidTr="000276A2">
        <w:trPr>
          <w:trHeight w:val="378"/>
        </w:trPr>
        <w:tc>
          <w:tcPr>
            <w:tcW w:w="3402" w:type="dxa"/>
            <w:vAlign w:val="center"/>
          </w:tcPr>
          <w:p w:rsidR="00963376" w:rsidRPr="00D101BD" w:rsidRDefault="00963376" w:rsidP="000276A2">
            <w:pPr>
              <w:ind w:firstLine="0"/>
              <w:jc w:val="left"/>
              <w:rPr>
                <w:sz w:val="28"/>
                <w:szCs w:val="28"/>
              </w:rPr>
            </w:pPr>
            <w:r w:rsidRPr="00D101BD">
              <w:rPr>
                <w:sz w:val="28"/>
                <w:szCs w:val="28"/>
              </w:rPr>
              <w:t>Учреждениями культурно-досугового типа</w:t>
            </w:r>
          </w:p>
        </w:tc>
        <w:tc>
          <w:tcPr>
            <w:tcW w:w="1843" w:type="dxa"/>
            <w:vAlign w:val="bottom"/>
          </w:tcPr>
          <w:p w:rsidR="00963376" w:rsidRPr="00D101BD" w:rsidRDefault="00963376" w:rsidP="000276A2">
            <w:pPr>
              <w:ind w:firstLine="0"/>
              <w:jc w:val="center"/>
              <w:rPr>
                <w:sz w:val="28"/>
                <w:szCs w:val="28"/>
              </w:rPr>
            </w:pPr>
            <w:r w:rsidRPr="00D101BD">
              <w:rPr>
                <w:sz w:val="28"/>
                <w:szCs w:val="28"/>
              </w:rPr>
              <w:t>учреждений на 10 тыс. населения</w:t>
            </w:r>
          </w:p>
        </w:tc>
        <w:tc>
          <w:tcPr>
            <w:tcW w:w="1418" w:type="dxa"/>
            <w:vAlign w:val="bottom"/>
          </w:tcPr>
          <w:p w:rsidR="00963376" w:rsidRPr="00605EFE" w:rsidRDefault="00963376" w:rsidP="000276A2">
            <w:pPr>
              <w:ind w:firstLine="0"/>
              <w:jc w:val="center"/>
              <w:rPr>
                <w:sz w:val="28"/>
                <w:szCs w:val="28"/>
              </w:rPr>
            </w:pPr>
            <w:r w:rsidRPr="00605EFE">
              <w:rPr>
                <w:sz w:val="28"/>
                <w:szCs w:val="28"/>
              </w:rPr>
              <w:t>0,07</w:t>
            </w:r>
          </w:p>
        </w:tc>
        <w:tc>
          <w:tcPr>
            <w:tcW w:w="1417" w:type="dxa"/>
            <w:vAlign w:val="bottom"/>
          </w:tcPr>
          <w:p w:rsidR="00963376" w:rsidRPr="00605EFE" w:rsidRDefault="00963376" w:rsidP="000276A2">
            <w:pPr>
              <w:ind w:firstLine="0"/>
              <w:jc w:val="center"/>
              <w:rPr>
                <w:sz w:val="28"/>
                <w:szCs w:val="28"/>
              </w:rPr>
            </w:pPr>
            <w:r w:rsidRPr="00605EFE">
              <w:rPr>
                <w:sz w:val="28"/>
                <w:szCs w:val="28"/>
              </w:rPr>
              <w:t>0,07</w:t>
            </w:r>
          </w:p>
        </w:tc>
        <w:tc>
          <w:tcPr>
            <w:tcW w:w="1276" w:type="dxa"/>
            <w:vAlign w:val="bottom"/>
          </w:tcPr>
          <w:p w:rsidR="00963376" w:rsidRPr="00605EFE" w:rsidRDefault="00963376" w:rsidP="000276A2">
            <w:pPr>
              <w:ind w:firstLine="0"/>
              <w:jc w:val="center"/>
              <w:rPr>
                <w:sz w:val="28"/>
                <w:szCs w:val="28"/>
              </w:rPr>
            </w:pPr>
            <w:r w:rsidRPr="00605EFE">
              <w:rPr>
                <w:sz w:val="28"/>
                <w:szCs w:val="28"/>
              </w:rPr>
              <w:t>0,07</w:t>
            </w:r>
          </w:p>
        </w:tc>
      </w:tr>
      <w:tr w:rsidR="00963376" w:rsidRPr="00890AA8" w:rsidTr="000276A2">
        <w:tc>
          <w:tcPr>
            <w:tcW w:w="3402" w:type="dxa"/>
            <w:vAlign w:val="bottom"/>
          </w:tcPr>
          <w:p w:rsidR="00963376" w:rsidRPr="00D101BD" w:rsidRDefault="00963376" w:rsidP="000276A2">
            <w:pPr>
              <w:ind w:firstLine="0"/>
              <w:jc w:val="left"/>
              <w:rPr>
                <w:sz w:val="28"/>
                <w:szCs w:val="28"/>
              </w:rPr>
            </w:pPr>
            <w:r w:rsidRPr="00D101BD">
              <w:rPr>
                <w:sz w:val="28"/>
                <w:szCs w:val="28"/>
              </w:rPr>
              <w:t>Количество посещений социокультурных мероприятий на территории муниципального образования</w:t>
            </w:r>
          </w:p>
        </w:tc>
        <w:tc>
          <w:tcPr>
            <w:tcW w:w="1843" w:type="dxa"/>
            <w:vAlign w:val="bottom"/>
          </w:tcPr>
          <w:p w:rsidR="00963376" w:rsidRPr="00D101BD" w:rsidRDefault="00963376" w:rsidP="000276A2">
            <w:pPr>
              <w:ind w:firstLine="0"/>
              <w:jc w:val="center"/>
              <w:rPr>
                <w:sz w:val="28"/>
                <w:szCs w:val="28"/>
              </w:rPr>
            </w:pPr>
            <w:r w:rsidRPr="00D101BD">
              <w:rPr>
                <w:sz w:val="28"/>
                <w:szCs w:val="28"/>
              </w:rPr>
              <w:t>посещений на 1000 чел. населения</w:t>
            </w:r>
          </w:p>
        </w:tc>
        <w:tc>
          <w:tcPr>
            <w:tcW w:w="1418" w:type="dxa"/>
            <w:vAlign w:val="bottom"/>
          </w:tcPr>
          <w:p w:rsidR="00963376" w:rsidRPr="00605EFE" w:rsidRDefault="00963376" w:rsidP="000276A2">
            <w:pPr>
              <w:ind w:firstLine="0"/>
              <w:jc w:val="center"/>
              <w:rPr>
                <w:sz w:val="28"/>
                <w:szCs w:val="28"/>
              </w:rPr>
            </w:pPr>
            <w:r w:rsidRPr="00605EFE">
              <w:rPr>
                <w:sz w:val="28"/>
                <w:szCs w:val="28"/>
              </w:rPr>
              <w:t>5469</w:t>
            </w:r>
          </w:p>
        </w:tc>
        <w:tc>
          <w:tcPr>
            <w:tcW w:w="1417" w:type="dxa"/>
            <w:vAlign w:val="bottom"/>
          </w:tcPr>
          <w:p w:rsidR="00963376" w:rsidRPr="00605EFE" w:rsidRDefault="00963376" w:rsidP="000276A2">
            <w:pPr>
              <w:ind w:firstLine="0"/>
              <w:jc w:val="center"/>
              <w:rPr>
                <w:sz w:val="28"/>
                <w:szCs w:val="28"/>
              </w:rPr>
            </w:pPr>
            <w:r w:rsidRPr="00605EFE">
              <w:rPr>
                <w:sz w:val="28"/>
                <w:szCs w:val="28"/>
              </w:rPr>
              <w:t>6013</w:t>
            </w:r>
          </w:p>
        </w:tc>
        <w:tc>
          <w:tcPr>
            <w:tcW w:w="1276" w:type="dxa"/>
            <w:vAlign w:val="bottom"/>
          </w:tcPr>
          <w:p w:rsidR="00963376" w:rsidRPr="00605EFE" w:rsidRDefault="00963376" w:rsidP="000276A2">
            <w:pPr>
              <w:ind w:firstLine="0"/>
              <w:jc w:val="center"/>
              <w:rPr>
                <w:sz w:val="28"/>
                <w:szCs w:val="28"/>
              </w:rPr>
            </w:pPr>
            <w:r w:rsidRPr="00605EFE">
              <w:rPr>
                <w:sz w:val="28"/>
                <w:szCs w:val="28"/>
              </w:rPr>
              <w:t>5876</w:t>
            </w:r>
          </w:p>
        </w:tc>
      </w:tr>
    </w:tbl>
    <w:p w:rsidR="00653112" w:rsidRDefault="00653112" w:rsidP="00681D95">
      <w:pPr>
        <w:suppressAutoHyphens w:val="0"/>
        <w:spacing w:line="276" w:lineRule="auto"/>
        <w:rPr>
          <w:rFonts w:eastAsia="Calibri"/>
          <w:sz w:val="28"/>
          <w:szCs w:val="28"/>
          <w:lang w:eastAsia="en-US"/>
        </w:rPr>
      </w:pPr>
    </w:p>
    <w:p w:rsidR="00681D95" w:rsidRPr="00C118EE" w:rsidRDefault="00681D95" w:rsidP="00653112">
      <w:pPr>
        <w:suppressAutoHyphens w:val="0"/>
        <w:spacing w:line="276" w:lineRule="auto"/>
        <w:rPr>
          <w:rFonts w:eastAsia="Calibri"/>
          <w:sz w:val="28"/>
          <w:szCs w:val="28"/>
          <w:highlight w:val="yellow"/>
          <w:lang w:eastAsia="en-US"/>
        </w:rPr>
      </w:pPr>
      <w:r w:rsidRPr="00C118EE">
        <w:rPr>
          <w:rFonts w:eastAsia="Calibri"/>
          <w:sz w:val="28"/>
          <w:szCs w:val="28"/>
          <w:lang w:eastAsia="en-US"/>
        </w:rPr>
        <w:t xml:space="preserve">Значение показателя «Количество посещений социокультурных мероприятий на территории муниципального образования» на 1000 человек определяется исходя из результатов деятельности всех видов учреждений культуры, с учетом платных и безвозмездных услуг. </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В 2022 году в рамках реализации государственных программ планируется выполнение мероприятий:</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xml:space="preserve">1. </w:t>
      </w:r>
      <w:r w:rsidR="009B6A02">
        <w:rPr>
          <w:rFonts w:eastAsia="Calibri"/>
          <w:sz w:val="28"/>
          <w:szCs w:val="28"/>
          <w:lang w:eastAsia="en-US"/>
        </w:rPr>
        <w:t>В</w:t>
      </w:r>
      <w:r w:rsidRPr="00C118EE">
        <w:rPr>
          <w:rFonts w:eastAsia="Calibri"/>
          <w:sz w:val="28"/>
          <w:szCs w:val="28"/>
          <w:lang w:eastAsia="en-US"/>
        </w:rPr>
        <w:t xml:space="preserve"> рамках реализации государственной программы «Развитие культуры в Самарской области на период до 2024 года» по национальному проекту «Культура»:</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xml:space="preserve">- оснащение МБУ ДО Детская школа искусств им. М.А. Балакирева музыкальными инструментами, оборудованием и литературой для учебного </w:t>
      </w:r>
      <w:r w:rsidR="009B6A02">
        <w:rPr>
          <w:rFonts w:eastAsia="Calibri"/>
          <w:sz w:val="28"/>
          <w:szCs w:val="28"/>
          <w:lang w:eastAsia="en-US"/>
        </w:rPr>
        <w:t>процесса;</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оснащение оборудованием МБУК «Тольяттинский художественны</w:t>
      </w:r>
      <w:r w:rsidR="009B6A02">
        <w:rPr>
          <w:rFonts w:eastAsia="Calibri"/>
          <w:sz w:val="28"/>
          <w:szCs w:val="28"/>
          <w:lang w:eastAsia="en-US"/>
        </w:rPr>
        <w:t>й музей»;</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создание модельной муниципальной библиотеки на базе Библиотеки № 18 «Фолиант» МБУК «Библиотеки Тольятти» по адресу: ул. 40 лет победы, 114,</w:t>
      </w:r>
      <w:r w:rsidR="009B6A02">
        <w:rPr>
          <w:rFonts w:eastAsia="Calibri"/>
          <w:sz w:val="28"/>
          <w:szCs w:val="28"/>
          <w:lang w:eastAsia="en-US"/>
        </w:rPr>
        <w:t>.</w:t>
      </w:r>
      <w:r w:rsidRPr="00C118EE">
        <w:rPr>
          <w:rFonts w:eastAsia="Calibri"/>
          <w:sz w:val="28"/>
          <w:szCs w:val="28"/>
          <w:lang w:eastAsia="en-US"/>
        </w:rPr>
        <w:t xml:space="preserve">  </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xml:space="preserve">2. </w:t>
      </w:r>
      <w:r w:rsidR="009B6A02">
        <w:rPr>
          <w:rFonts w:eastAsia="Calibri"/>
          <w:sz w:val="28"/>
          <w:szCs w:val="28"/>
          <w:lang w:eastAsia="en-US"/>
        </w:rPr>
        <w:t>В</w:t>
      </w:r>
      <w:r w:rsidRPr="00C118EE">
        <w:rPr>
          <w:rFonts w:eastAsia="Calibri"/>
          <w:sz w:val="28"/>
          <w:szCs w:val="28"/>
          <w:lang w:eastAsia="en-US"/>
        </w:rPr>
        <w:t xml:space="preserve"> рамках реализации государственной программы «Развитие культуры в Самарской области на период до 2024 года», не относящиеся к национальному проекту «Культура»:</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пополнение книжными фондами библиотек МБУК «Библиотеки Тольятти», МБУК «Объединение детских библиотек», библиотека МАУ «КЦ «Автоград»;</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поддержка творческой деятельности и техническое оснащение детских и кукольных театров на укрепление материально-технической базы и постановочные расходы – федеральный проект «Театр-Детям» (МБУИ «Тольяттинский театр кукол», МБУИ «Молодежный драматический театр», МАУ «ТЮЗ «Дилижанс»);</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выплата денежных поощрений за лучшие концертные программы   выставки декоративно-прикладного творчества - улучшение работы звуковых систем большого концертного зала МАУ «КЦ «Автоград»</w:t>
      </w:r>
      <w:r>
        <w:rPr>
          <w:rFonts w:eastAsia="Calibri"/>
          <w:sz w:val="28"/>
          <w:szCs w:val="28"/>
          <w:lang w:eastAsia="en-US"/>
        </w:rPr>
        <w:t>;</w:t>
      </w:r>
    </w:p>
    <w:p w:rsidR="00681D95" w:rsidRPr="00C118EE" w:rsidRDefault="009B6A02" w:rsidP="00653112">
      <w:pPr>
        <w:suppressAutoHyphens w:val="0"/>
        <w:spacing w:line="276" w:lineRule="auto"/>
        <w:rPr>
          <w:rFonts w:eastAsia="Calibri"/>
          <w:sz w:val="28"/>
          <w:szCs w:val="28"/>
          <w:lang w:eastAsia="en-US"/>
        </w:rPr>
      </w:pPr>
      <w:r>
        <w:rPr>
          <w:rFonts w:eastAsia="Calibri"/>
          <w:sz w:val="28"/>
          <w:szCs w:val="28"/>
          <w:lang w:eastAsia="en-US"/>
        </w:rPr>
        <w:t>3. В</w:t>
      </w:r>
      <w:r w:rsidR="00681D95" w:rsidRPr="00C118EE">
        <w:rPr>
          <w:rFonts w:eastAsia="Calibri"/>
          <w:sz w:val="28"/>
          <w:szCs w:val="28"/>
          <w:lang w:eastAsia="en-US"/>
        </w:rPr>
        <w:t xml:space="preserve"> ра</w:t>
      </w:r>
      <w:r w:rsidR="00681D95">
        <w:rPr>
          <w:rFonts w:eastAsia="Calibri"/>
          <w:sz w:val="28"/>
          <w:szCs w:val="28"/>
          <w:lang w:eastAsia="en-US"/>
        </w:rPr>
        <w:t>мках государственной программы «</w:t>
      </w:r>
      <w:r w:rsidR="00681D95" w:rsidRPr="00C118EE">
        <w:rPr>
          <w:rFonts w:eastAsia="Calibri"/>
          <w:sz w:val="28"/>
          <w:szCs w:val="28"/>
          <w:lang w:eastAsia="en-US"/>
        </w:rPr>
        <w:t>Поддержка инициатив населения муниципальных образований в Сама</w:t>
      </w:r>
      <w:r w:rsidR="00681D95">
        <w:rPr>
          <w:rFonts w:eastAsia="Calibri"/>
          <w:sz w:val="28"/>
          <w:szCs w:val="28"/>
          <w:lang w:eastAsia="en-US"/>
        </w:rPr>
        <w:t>рской области на 2017-2025 годы»</w:t>
      </w:r>
      <w:r w:rsidR="00681D95" w:rsidRPr="00C118EE">
        <w:rPr>
          <w:rFonts w:eastAsia="Calibri"/>
          <w:sz w:val="28"/>
          <w:szCs w:val="28"/>
          <w:lang w:eastAsia="en-US"/>
        </w:rPr>
        <w:t xml:space="preserve"> 3 общественных проекта:</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«Кинотеатр под открытым небом» - устройство уличного кинотеатра на территории, прилегающей к памятнику В.Н. Татищеву;</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«Литературная площадка «Библиобриз» - восстановление входной группы, фасада и благоустройство прилегающей территории Центральной библиотеки им. В.Н. Татищева;</w:t>
      </w:r>
    </w:p>
    <w:p w:rsidR="00681D95" w:rsidRPr="00C118EE" w:rsidRDefault="00681D95" w:rsidP="00653112">
      <w:pPr>
        <w:suppressAutoHyphens w:val="0"/>
        <w:spacing w:line="276" w:lineRule="auto"/>
        <w:rPr>
          <w:rFonts w:eastAsia="Calibri"/>
          <w:sz w:val="28"/>
          <w:szCs w:val="28"/>
          <w:lang w:eastAsia="en-US"/>
        </w:rPr>
      </w:pPr>
      <w:r w:rsidRPr="00C118EE">
        <w:rPr>
          <w:rFonts w:eastAsia="Calibri"/>
          <w:sz w:val="28"/>
          <w:szCs w:val="28"/>
          <w:lang w:eastAsia="en-US"/>
        </w:rPr>
        <w:t>- «Театральная площадь» - восстановление театра юного зрителя «Дилижанс» (проспект Степана Разина, д. 93) и благоустройство прилегающей территории (1 этап).</w:t>
      </w:r>
    </w:p>
    <w:p w:rsidR="00681D95" w:rsidRPr="00C118EE" w:rsidRDefault="00681D95" w:rsidP="00653112">
      <w:pPr>
        <w:suppressAutoHyphens w:val="0"/>
        <w:spacing w:line="276" w:lineRule="auto"/>
        <w:rPr>
          <w:rFonts w:eastAsia="Calibri"/>
          <w:sz w:val="28"/>
          <w:szCs w:val="28"/>
          <w:highlight w:val="yellow"/>
          <w:lang w:eastAsia="en-US"/>
        </w:rPr>
      </w:pPr>
      <w:r w:rsidRPr="00C118EE">
        <w:rPr>
          <w:rFonts w:eastAsia="Calibri"/>
          <w:sz w:val="28"/>
          <w:szCs w:val="28"/>
          <w:lang w:eastAsia="en-US"/>
        </w:rPr>
        <w:t xml:space="preserve">В целях обеспечения деятельности учреждений культуры, в том числе созданию благоприятных условий для организации работы с посетителями и оказанию услуг в области культуры в рамках муниципальной программы «Культура Тольятти на 2019-2023 годы», утвержденной постановлением администрации городского округа Тольятти от 21.09.2018 № 2799-п/1, на капитальный ремонт зданий, материально-техническое оснащение объектов культуры, постановочные расходы театров за счет средств бюджета </w:t>
      </w:r>
      <w:r w:rsidR="00653112">
        <w:rPr>
          <w:rFonts w:eastAsia="Calibri"/>
          <w:sz w:val="28"/>
          <w:szCs w:val="28"/>
          <w:lang w:eastAsia="en-US"/>
        </w:rPr>
        <w:t>городского округа</w:t>
      </w:r>
      <w:r w:rsidRPr="00C118EE">
        <w:rPr>
          <w:rFonts w:eastAsia="Calibri"/>
          <w:sz w:val="28"/>
          <w:szCs w:val="28"/>
          <w:lang w:eastAsia="en-US"/>
        </w:rPr>
        <w:t xml:space="preserve"> Тольятти в 2022 году запланировано:</w:t>
      </w:r>
    </w:p>
    <w:p w:rsidR="00681D95" w:rsidRPr="00C118EE" w:rsidRDefault="00681D95" w:rsidP="00653112">
      <w:pPr>
        <w:suppressAutoHyphens w:val="0"/>
        <w:spacing w:line="276" w:lineRule="auto"/>
        <w:rPr>
          <w:sz w:val="28"/>
          <w:szCs w:val="28"/>
        </w:rPr>
      </w:pPr>
      <w:r w:rsidRPr="00C118EE">
        <w:rPr>
          <w:sz w:val="28"/>
          <w:szCs w:val="28"/>
        </w:rPr>
        <w:t>- восстановление монум</w:t>
      </w:r>
      <w:r>
        <w:rPr>
          <w:sz w:val="28"/>
          <w:szCs w:val="28"/>
        </w:rPr>
        <w:t>ентально-мозаичной стелы-панно «Радость труда»</w:t>
      </w:r>
      <w:r w:rsidRPr="00C118EE">
        <w:rPr>
          <w:sz w:val="28"/>
          <w:szCs w:val="28"/>
        </w:rPr>
        <w:t xml:space="preserve"> в рамках капитального ремонта;</w:t>
      </w:r>
    </w:p>
    <w:p w:rsidR="00681D95" w:rsidRDefault="00681D95" w:rsidP="00653112">
      <w:pPr>
        <w:suppressAutoHyphens w:val="0"/>
        <w:spacing w:line="276" w:lineRule="auto"/>
        <w:rPr>
          <w:sz w:val="28"/>
          <w:szCs w:val="28"/>
        </w:rPr>
      </w:pPr>
      <w:r w:rsidRPr="00C118EE">
        <w:rPr>
          <w:sz w:val="28"/>
          <w:szCs w:val="28"/>
        </w:rPr>
        <w:t>- проведение Отбора на предоставление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осуществляющим деятельность в сфере культуры;</w:t>
      </w:r>
    </w:p>
    <w:p w:rsidR="00681D95" w:rsidRPr="00C118EE" w:rsidRDefault="00681D95" w:rsidP="00653112">
      <w:pPr>
        <w:suppressAutoHyphens w:val="0"/>
        <w:spacing w:line="276" w:lineRule="auto"/>
        <w:rPr>
          <w:sz w:val="28"/>
          <w:szCs w:val="28"/>
        </w:rPr>
      </w:pPr>
      <w:r w:rsidRPr="00C118EE">
        <w:rPr>
          <w:sz w:val="28"/>
          <w:szCs w:val="28"/>
        </w:rPr>
        <w:t>- пополнение книжных фондов, в том числе электронная подписка полнотекстовых</w:t>
      </w:r>
      <w:r>
        <w:rPr>
          <w:sz w:val="28"/>
          <w:szCs w:val="28"/>
        </w:rPr>
        <w:t xml:space="preserve"> электронных документов «ЛитРес»</w:t>
      </w:r>
      <w:r w:rsidRPr="00C118EE">
        <w:rPr>
          <w:sz w:val="28"/>
          <w:szCs w:val="28"/>
        </w:rPr>
        <w:t xml:space="preserve"> в МБУК «Библиотеки Тольятти»; в МБУК «Объединение детских библиотек»;</w:t>
      </w:r>
    </w:p>
    <w:p w:rsidR="00681D95" w:rsidRPr="00C118EE" w:rsidRDefault="00681D95" w:rsidP="00653112">
      <w:pPr>
        <w:suppressAutoHyphens w:val="0"/>
        <w:spacing w:line="276" w:lineRule="auto"/>
        <w:rPr>
          <w:sz w:val="28"/>
          <w:szCs w:val="28"/>
        </w:rPr>
      </w:pPr>
      <w:r w:rsidRPr="00C118EE">
        <w:rPr>
          <w:sz w:val="28"/>
          <w:szCs w:val="28"/>
        </w:rPr>
        <w:t>- поддержка новых театральных постановок МАУ «ДТ «Колесо» им. Г.Б. Дроздова»;</w:t>
      </w:r>
    </w:p>
    <w:p w:rsidR="00681D95" w:rsidRPr="00C118EE" w:rsidRDefault="00681D95" w:rsidP="00653112">
      <w:pPr>
        <w:suppressAutoHyphens w:val="0"/>
        <w:spacing w:line="276" w:lineRule="auto"/>
        <w:rPr>
          <w:sz w:val="28"/>
          <w:szCs w:val="28"/>
        </w:rPr>
      </w:pPr>
      <w:r w:rsidRPr="00C118EE">
        <w:rPr>
          <w:sz w:val="28"/>
          <w:szCs w:val="28"/>
        </w:rPr>
        <w:t>- проведение МАУ «ТЮЗ «Дилижанс» фе</w:t>
      </w:r>
      <w:r>
        <w:rPr>
          <w:sz w:val="28"/>
          <w:szCs w:val="28"/>
        </w:rPr>
        <w:t>стиваля одноактной драматургии «Премьера одной репетиции»</w:t>
      </w:r>
      <w:r w:rsidRPr="00C118EE">
        <w:rPr>
          <w:sz w:val="28"/>
          <w:szCs w:val="28"/>
        </w:rPr>
        <w:t>;</w:t>
      </w:r>
    </w:p>
    <w:p w:rsidR="00681D95" w:rsidRPr="00C118EE" w:rsidRDefault="00681D95" w:rsidP="00653112">
      <w:pPr>
        <w:suppressAutoHyphens w:val="0"/>
        <w:spacing w:line="276" w:lineRule="auto"/>
        <w:rPr>
          <w:sz w:val="28"/>
          <w:szCs w:val="28"/>
        </w:rPr>
      </w:pPr>
      <w:r w:rsidRPr="00C118EE">
        <w:rPr>
          <w:sz w:val="28"/>
          <w:szCs w:val="28"/>
        </w:rPr>
        <w:t>- ремонт фасада с установкой пандуса Библиотеки № 18 МБУК «Библиотеки Тольятти»;</w:t>
      </w:r>
    </w:p>
    <w:p w:rsidR="00681D95" w:rsidRPr="00C118EE" w:rsidRDefault="00681D95" w:rsidP="00653112">
      <w:pPr>
        <w:suppressAutoHyphens w:val="0"/>
        <w:spacing w:line="276" w:lineRule="auto"/>
        <w:rPr>
          <w:sz w:val="28"/>
          <w:szCs w:val="28"/>
        </w:rPr>
      </w:pPr>
      <w:r w:rsidRPr="00C118EE">
        <w:rPr>
          <w:sz w:val="28"/>
          <w:szCs w:val="28"/>
        </w:rPr>
        <w:t xml:space="preserve"> - капитальный ремонт кровли в библиотеке № 8 МБУК «Объединение детских библиотек»;</w:t>
      </w:r>
    </w:p>
    <w:p w:rsidR="00681D95" w:rsidRPr="00C118EE" w:rsidRDefault="00681D95" w:rsidP="00653112">
      <w:pPr>
        <w:suppressAutoHyphens w:val="0"/>
        <w:spacing w:line="276" w:lineRule="auto"/>
        <w:rPr>
          <w:sz w:val="28"/>
          <w:szCs w:val="28"/>
        </w:rPr>
      </w:pPr>
      <w:r w:rsidRPr="00C118EE">
        <w:rPr>
          <w:sz w:val="28"/>
          <w:szCs w:val="28"/>
        </w:rPr>
        <w:t>- капитальный ремонт, в образовательных учреждениях:</w:t>
      </w:r>
    </w:p>
    <w:p w:rsidR="00681D95" w:rsidRPr="00C118EE" w:rsidRDefault="00681D95" w:rsidP="00653112">
      <w:pPr>
        <w:suppressAutoHyphens w:val="0"/>
        <w:spacing w:line="276" w:lineRule="auto"/>
        <w:rPr>
          <w:sz w:val="28"/>
          <w:szCs w:val="28"/>
        </w:rPr>
      </w:pPr>
      <w:r w:rsidRPr="00C118EE">
        <w:rPr>
          <w:sz w:val="28"/>
          <w:szCs w:val="28"/>
        </w:rPr>
        <w:t xml:space="preserve"> - МБУ ДО Детский дом культуры – ремонт системы отопления, ремонт системы освещения; </w:t>
      </w:r>
    </w:p>
    <w:p w:rsidR="00681D95" w:rsidRPr="00C118EE" w:rsidRDefault="00681D95" w:rsidP="00653112">
      <w:pPr>
        <w:suppressAutoHyphens w:val="0"/>
        <w:spacing w:line="276" w:lineRule="auto"/>
        <w:rPr>
          <w:sz w:val="28"/>
          <w:szCs w:val="28"/>
        </w:rPr>
      </w:pPr>
      <w:r w:rsidRPr="00C118EE">
        <w:rPr>
          <w:sz w:val="28"/>
          <w:szCs w:val="28"/>
        </w:rPr>
        <w:t>- МБУ ДО Лицей искусств - ремонт системы водоснабжения, ремонт входной двери, реконструкция, ремонт, монтаж  систем АПС и СО;</w:t>
      </w:r>
    </w:p>
    <w:p w:rsidR="00681D95" w:rsidRPr="00C118EE" w:rsidRDefault="00681D95" w:rsidP="00653112">
      <w:pPr>
        <w:suppressAutoHyphens w:val="0"/>
        <w:spacing w:line="276" w:lineRule="auto"/>
        <w:rPr>
          <w:sz w:val="28"/>
          <w:szCs w:val="28"/>
        </w:rPr>
      </w:pPr>
      <w:r w:rsidRPr="00C118EE">
        <w:rPr>
          <w:sz w:val="28"/>
          <w:szCs w:val="28"/>
        </w:rPr>
        <w:t xml:space="preserve"> -МБУ ДО Детская школа искусств № 1 - разработка проектно-сметной документации и получение результатов государственной экспертизы;</w:t>
      </w:r>
    </w:p>
    <w:p w:rsidR="00681D95" w:rsidRPr="00C118EE" w:rsidRDefault="00681D95" w:rsidP="00653112">
      <w:pPr>
        <w:suppressAutoHyphens w:val="0"/>
        <w:spacing w:line="276" w:lineRule="auto"/>
        <w:rPr>
          <w:sz w:val="28"/>
          <w:szCs w:val="28"/>
        </w:rPr>
      </w:pPr>
      <w:r w:rsidRPr="00C118EE">
        <w:rPr>
          <w:sz w:val="28"/>
          <w:szCs w:val="28"/>
        </w:rPr>
        <w:t>- МБУ ДО ШИ «Камертон» - ремонт класса;</w:t>
      </w:r>
    </w:p>
    <w:p w:rsidR="00681D95" w:rsidRPr="00C118EE" w:rsidRDefault="00681D95" w:rsidP="00653112">
      <w:pPr>
        <w:suppressAutoHyphens w:val="0"/>
        <w:spacing w:line="276" w:lineRule="auto"/>
        <w:rPr>
          <w:sz w:val="28"/>
          <w:szCs w:val="28"/>
        </w:rPr>
      </w:pPr>
      <w:r w:rsidRPr="00C118EE">
        <w:rPr>
          <w:sz w:val="28"/>
          <w:szCs w:val="28"/>
        </w:rPr>
        <w:t>- МБУ ДО ЦРТДЮ «Истоки» - проведение работ по капитальному ремонту кровли;</w:t>
      </w:r>
    </w:p>
    <w:p w:rsidR="00681D95" w:rsidRPr="00C118EE" w:rsidRDefault="00681D95" w:rsidP="00653112">
      <w:pPr>
        <w:suppressAutoHyphens w:val="0"/>
        <w:spacing w:line="276" w:lineRule="auto"/>
        <w:rPr>
          <w:sz w:val="28"/>
          <w:szCs w:val="28"/>
        </w:rPr>
      </w:pPr>
      <w:r w:rsidRPr="00C118EE">
        <w:rPr>
          <w:sz w:val="28"/>
          <w:szCs w:val="28"/>
        </w:rPr>
        <w:t>- МБУ ДО Детская Школа искусств им. М.А. Балакирева - установка пандуса;</w:t>
      </w:r>
    </w:p>
    <w:p w:rsidR="00681D95" w:rsidRPr="00C118EE" w:rsidRDefault="00681D95" w:rsidP="00653112">
      <w:pPr>
        <w:suppressAutoHyphens w:val="0"/>
        <w:spacing w:line="276" w:lineRule="auto"/>
        <w:rPr>
          <w:sz w:val="28"/>
          <w:szCs w:val="28"/>
        </w:rPr>
      </w:pPr>
      <w:r w:rsidRPr="00C118EE">
        <w:rPr>
          <w:sz w:val="28"/>
          <w:szCs w:val="28"/>
        </w:rPr>
        <w:t xml:space="preserve">- капитальный ремонт театров, музеев, дворцов культуры, из них: </w:t>
      </w:r>
    </w:p>
    <w:p w:rsidR="00681D95" w:rsidRPr="00C118EE" w:rsidRDefault="00681D95" w:rsidP="00653112">
      <w:pPr>
        <w:suppressAutoHyphens w:val="0"/>
        <w:spacing w:line="276" w:lineRule="auto"/>
        <w:rPr>
          <w:sz w:val="28"/>
          <w:szCs w:val="28"/>
        </w:rPr>
      </w:pPr>
      <w:r w:rsidRPr="00C118EE">
        <w:rPr>
          <w:sz w:val="28"/>
          <w:szCs w:val="28"/>
        </w:rPr>
        <w:t xml:space="preserve">- МАУ «ТЮЗ «Дилижанс» - ремонт системы электроснабжения; </w:t>
      </w:r>
    </w:p>
    <w:p w:rsidR="00681D95" w:rsidRPr="00C118EE" w:rsidRDefault="00681D95" w:rsidP="00653112">
      <w:pPr>
        <w:suppressAutoHyphens w:val="0"/>
        <w:spacing w:line="276" w:lineRule="auto"/>
        <w:rPr>
          <w:sz w:val="28"/>
          <w:szCs w:val="28"/>
        </w:rPr>
      </w:pPr>
      <w:r w:rsidRPr="00C118EE">
        <w:rPr>
          <w:sz w:val="28"/>
          <w:szCs w:val="28"/>
        </w:rPr>
        <w:t xml:space="preserve">- МБУИ «Молодежный драматический театр»- капитальный ремонт (монтаж) системы дымоудоления; </w:t>
      </w:r>
    </w:p>
    <w:p w:rsidR="00681D95" w:rsidRPr="00C118EE" w:rsidRDefault="00681D95" w:rsidP="00653112">
      <w:pPr>
        <w:suppressAutoHyphens w:val="0"/>
        <w:spacing w:line="276" w:lineRule="auto"/>
        <w:rPr>
          <w:sz w:val="28"/>
          <w:szCs w:val="28"/>
        </w:rPr>
      </w:pPr>
      <w:r w:rsidRPr="00C118EE">
        <w:rPr>
          <w:sz w:val="28"/>
          <w:szCs w:val="28"/>
        </w:rPr>
        <w:t>- МАУ «ДТ «Колесо» им. Г.Б. Дроздова» - ремонт системы г/в (замена теплообменника);</w:t>
      </w:r>
    </w:p>
    <w:p w:rsidR="00681D95" w:rsidRPr="00C118EE" w:rsidRDefault="00681D95" w:rsidP="00653112">
      <w:pPr>
        <w:suppressAutoHyphens w:val="0"/>
        <w:spacing w:line="276" w:lineRule="auto"/>
        <w:rPr>
          <w:sz w:val="28"/>
          <w:szCs w:val="28"/>
        </w:rPr>
      </w:pPr>
      <w:r w:rsidRPr="00C118EE">
        <w:rPr>
          <w:sz w:val="28"/>
          <w:szCs w:val="28"/>
        </w:rPr>
        <w:t xml:space="preserve">- МБУИ г.о. Тольятти </w:t>
      </w:r>
      <w:r>
        <w:rPr>
          <w:sz w:val="28"/>
          <w:szCs w:val="28"/>
        </w:rPr>
        <w:t>«Тольяттинский театр кукол</w:t>
      </w:r>
      <w:r w:rsidRPr="00C118EE">
        <w:rPr>
          <w:sz w:val="28"/>
          <w:szCs w:val="28"/>
        </w:rPr>
        <w:t>» - проведение работ по восстановлению и замене системы обогрева по краю кровли здания;</w:t>
      </w:r>
    </w:p>
    <w:p w:rsidR="00681D95" w:rsidRDefault="00681D95" w:rsidP="00653112">
      <w:pPr>
        <w:suppressAutoHyphens w:val="0"/>
        <w:spacing w:line="276" w:lineRule="auto"/>
        <w:rPr>
          <w:sz w:val="28"/>
          <w:szCs w:val="28"/>
        </w:rPr>
      </w:pPr>
      <w:r w:rsidRPr="00C118EE">
        <w:rPr>
          <w:sz w:val="28"/>
          <w:szCs w:val="28"/>
        </w:rPr>
        <w:t>- капитальный ремонт МБУК «Тольяттинский краеведческий музей» - утепление стен с заменой витражей ул. Баныкина, 14;</w:t>
      </w:r>
    </w:p>
    <w:p w:rsidR="00681D95" w:rsidRPr="00C118EE" w:rsidRDefault="00681D95" w:rsidP="00653112">
      <w:pPr>
        <w:suppressAutoHyphens w:val="0"/>
        <w:spacing w:line="276" w:lineRule="auto"/>
        <w:rPr>
          <w:sz w:val="28"/>
          <w:szCs w:val="28"/>
        </w:rPr>
      </w:pPr>
      <w:r w:rsidRPr="00C118EE">
        <w:rPr>
          <w:sz w:val="28"/>
          <w:szCs w:val="28"/>
        </w:rPr>
        <w:t>- капитальный ремонт кровли МАУ «КЦ «Автоград»</w:t>
      </w:r>
      <w:r>
        <w:rPr>
          <w:sz w:val="28"/>
          <w:szCs w:val="28"/>
        </w:rPr>
        <w:t>.</w:t>
      </w:r>
    </w:p>
    <w:p w:rsidR="004B445D" w:rsidRDefault="00681D95" w:rsidP="00653112">
      <w:pPr>
        <w:suppressAutoHyphens w:val="0"/>
        <w:spacing w:after="120" w:line="276" w:lineRule="auto"/>
        <w:rPr>
          <w:rFonts w:eastAsia="Calibri"/>
          <w:sz w:val="28"/>
          <w:szCs w:val="28"/>
          <w:lang w:eastAsia="en-US"/>
        </w:rPr>
      </w:pPr>
      <w:r w:rsidRPr="00C118EE">
        <w:rPr>
          <w:sz w:val="28"/>
          <w:szCs w:val="28"/>
          <w:lang w:eastAsia="ru-RU"/>
        </w:rPr>
        <w:t>Ключевой проблемой, препятствующей развитию сферы культур</w:t>
      </w:r>
      <w:r w:rsidR="00720A19">
        <w:rPr>
          <w:sz w:val="28"/>
          <w:szCs w:val="28"/>
          <w:lang w:eastAsia="ru-RU"/>
        </w:rPr>
        <w:t>ы</w:t>
      </w:r>
      <w:r w:rsidRPr="00C118EE">
        <w:rPr>
          <w:sz w:val="28"/>
          <w:szCs w:val="28"/>
          <w:lang w:eastAsia="ru-RU"/>
        </w:rPr>
        <w:t xml:space="preserve"> в городском округе Тольятти продолжает оставаться потребность в существенном обновлении материально-технического оснащения учреждений культуры и искусства, в том числе недостаточность ресурсов на разработку проектно-сметной документации и осуществлений капитального ремонта существующих и строительства новых зданий для объектов культуры и искусства. Развитие кадрового потенциала отрасли планируется через проведение и участие в конкурсах профессионального мастерства в целях поддержки и профессионального развития специалистов учреждений культуры, участие в программах повышения квалификации в рамках реализации национального проекта «Культура».</w:t>
      </w:r>
    </w:p>
    <w:p w:rsidR="00FA601B" w:rsidRPr="00B40E0E" w:rsidRDefault="00FA601B" w:rsidP="00653112">
      <w:pPr>
        <w:pStyle w:val="3"/>
        <w:spacing w:before="120" w:after="120" w:line="276" w:lineRule="auto"/>
        <w:ind w:left="0" w:firstLine="0"/>
        <w:rPr>
          <w:sz w:val="28"/>
          <w:szCs w:val="28"/>
        </w:rPr>
      </w:pPr>
      <w:r w:rsidRPr="00B40E0E">
        <w:rPr>
          <w:sz w:val="28"/>
          <w:szCs w:val="28"/>
        </w:rPr>
        <w:t>Физическая культура и спорт</w:t>
      </w:r>
    </w:p>
    <w:p w:rsidR="00B40E0E" w:rsidRPr="008901B0" w:rsidRDefault="00B40E0E" w:rsidP="00653112">
      <w:pPr>
        <w:autoSpaceDE w:val="0"/>
        <w:autoSpaceDN w:val="0"/>
        <w:adjustRightInd w:val="0"/>
        <w:spacing w:line="276" w:lineRule="auto"/>
        <w:rPr>
          <w:sz w:val="28"/>
          <w:szCs w:val="28"/>
        </w:rPr>
      </w:pPr>
      <w:r w:rsidRPr="00DC36BC">
        <w:rPr>
          <w:sz w:val="28"/>
          <w:szCs w:val="28"/>
        </w:rPr>
        <w:t>Формирование здорового образа жизни граждан в городском округе Тольятти, особенно детей и молодёжи, через развитие физической культуры и спорта имеют важное значение. Физическая культура и спорт являются неотъемлемой частью современного образа жизни, социального и культурно-нравственного развития общества.</w:t>
      </w:r>
      <w:r w:rsidRPr="008901B0">
        <w:rPr>
          <w:sz w:val="28"/>
          <w:szCs w:val="28"/>
        </w:rPr>
        <w:t xml:space="preserve"> </w:t>
      </w:r>
    </w:p>
    <w:p w:rsidR="00B40E0E" w:rsidRPr="00B57784" w:rsidRDefault="00B40E0E" w:rsidP="00653112">
      <w:pPr>
        <w:autoSpaceDE w:val="0"/>
        <w:autoSpaceDN w:val="0"/>
        <w:adjustRightInd w:val="0"/>
        <w:spacing w:line="276" w:lineRule="auto"/>
        <w:rPr>
          <w:sz w:val="28"/>
          <w:szCs w:val="28"/>
        </w:rPr>
      </w:pPr>
      <w:r w:rsidRPr="00B57784">
        <w:rPr>
          <w:sz w:val="28"/>
          <w:szCs w:val="28"/>
        </w:rPr>
        <w:t>По состоянию на 01.07.2022 на территории городского округа Тольятти 578 учреждений, предприятий и организаций проводят физкультурно-спортивную работу различной направленности, в том числе:</w:t>
      </w:r>
    </w:p>
    <w:p w:rsidR="00B40E0E" w:rsidRPr="00B57784" w:rsidRDefault="00B40E0E" w:rsidP="00B40E0E">
      <w:pPr>
        <w:autoSpaceDE w:val="0"/>
        <w:autoSpaceDN w:val="0"/>
        <w:adjustRightInd w:val="0"/>
        <w:spacing w:line="276" w:lineRule="auto"/>
        <w:rPr>
          <w:sz w:val="28"/>
          <w:szCs w:val="28"/>
        </w:rPr>
      </w:pPr>
      <w:r w:rsidRPr="00B57784">
        <w:rPr>
          <w:sz w:val="28"/>
          <w:szCs w:val="28"/>
        </w:rPr>
        <w:t>- 14 муниципальных бюджетных учреждений спортивных школ и спортивных школ олимпийского резерва с общим количеством обучающихся – около 15,0 тыс. человек;</w:t>
      </w:r>
    </w:p>
    <w:p w:rsidR="00B40E0E" w:rsidRPr="00B57784" w:rsidRDefault="00B40E0E" w:rsidP="00B40E0E">
      <w:pPr>
        <w:widowControl w:val="0"/>
        <w:autoSpaceDE w:val="0"/>
        <w:autoSpaceDN w:val="0"/>
        <w:adjustRightInd w:val="0"/>
        <w:spacing w:line="276" w:lineRule="auto"/>
        <w:rPr>
          <w:sz w:val="28"/>
          <w:szCs w:val="28"/>
        </w:rPr>
      </w:pPr>
      <w:r w:rsidRPr="00B57784">
        <w:rPr>
          <w:sz w:val="28"/>
          <w:szCs w:val="28"/>
        </w:rPr>
        <w:t xml:space="preserve">- 1 муниципальное бюджетное учреждение спорта (Центр физической культуры и спорта городского округа Тольятти); </w:t>
      </w:r>
    </w:p>
    <w:p w:rsidR="00B40E0E" w:rsidRPr="00B57784" w:rsidRDefault="00B40E0E" w:rsidP="00B40E0E">
      <w:pPr>
        <w:widowControl w:val="0"/>
        <w:autoSpaceDE w:val="0"/>
        <w:autoSpaceDN w:val="0"/>
        <w:adjustRightInd w:val="0"/>
        <w:spacing w:line="276" w:lineRule="auto"/>
        <w:rPr>
          <w:sz w:val="28"/>
          <w:szCs w:val="28"/>
        </w:rPr>
      </w:pPr>
      <w:r w:rsidRPr="00B57784">
        <w:rPr>
          <w:sz w:val="28"/>
          <w:szCs w:val="28"/>
        </w:rPr>
        <w:t>- 4 государственных бюджетных учреждения - государственное бюджетное учреждение Самарской области «Спортивная техническая школа», государственное автономное учреждение Самарской области «Спортивная школа олимпийского резерва № 1» (Тольяттинское отделение), государственное бюджетное учреждение Самарской области «Спортивная школа олимпийского резерва № 6», государственное автономное учреждение Самарской области «Спортивная школа олимпийского резерва № 4 «Ринг»;</w:t>
      </w:r>
    </w:p>
    <w:p w:rsidR="00B40E0E" w:rsidRDefault="00B40E0E" w:rsidP="00B40E0E">
      <w:pPr>
        <w:widowControl w:val="0"/>
        <w:autoSpaceDE w:val="0"/>
        <w:autoSpaceDN w:val="0"/>
        <w:adjustRightInd w:val="0"/>
        <w:spacing w:line="276" w:lineRule="auto"/>
        <w:rPr>
          <w:sz w:val="28"/>
          <w:szCs w:val="28"/>
        </w:rPr>
      </w:pPr>
      <w:r w:rsidRPr="00B57784">
        <w:rPr>
          <w:sz w:val="28"/>
          <w:szCs w:val="28"/>
        </w:rPr>
        <w:t>- государственное автономное учреждение Самарской области «Арена», в составе которого входят - ледовый дворец спорта «Лада-Арена», спортивный комплекс «Труд»;</w:t>
      </w:r>
    </w:p>
    <w:p w:rsidR="00B40E0E" w:rsidRPr="00B57784" w:rsidRDefault="00B40E0E" w:rsidP="00B40E0E">
      <w:pPr>
        <w:widowControl w:val="0"/>
        <w:autoSpaceDE w:val="0"/>
        <w:autoSpaceDN w:val="0"/>
        <w:adjustRightInd w:val="0"/>
        <w:spacing w:line="276" w:lineRule="auto"/>
        <w:rPr>
          <w:sz w:val="28"/>
          <w:szCs w:val="28"/>
        </w:rPr>
      </w:pPr>
      <w:r w:rsidRPr="00B57784">
        <w:rPr>
          <w:sz w:val="28"/>
          <w:szCs w:val="28"/>
        </w:rPr>
        <w:t>- 271 общественных и коммерческих организаций спортивной направленности - клубов, федераций, ассоциаций и т.д., из них 5</w:t>
      </w:r>
      <w:r>
        <w:rPr>
          <w:sz w:val="28"/>
          <w:szCs w:val="28"/>
        </w:rPr>
        <w:t>9</w:t>
      </w:r>
      <w:r w:rsidRPr="00B57784">
        <w:rPr>
          <w:sz w:val="28"/>
          <w:szCs w:val="28"/>
        </w:rPr>
        <w:t xml:space="preserve"> ед</w:t>
      </w:r>
      <w:r w:rsidR="00653112">
        <w:rPr>
          <w:sz w:val="28"/>
          <w:szCs w:val="28"/>
        </w:rPr>
        <w:t>иниц</w:t>
      </w:r>
      <w:r w:rsidRPr="00B57784">
        <w:rPr>
          <w:sz w:val="28"/>
          <w:szCs w:val="28"/>
        </w:rPr>
        <w:t xml:space="preserve"> фитнес-клубов, с общим количеством занимающихся 80,9 тыс. человек.</w:t>
      </w:r>
    </w:p>
    <w:p w:rsidR="00B40E0E" w:rsidRPr="008901B0" w:rsidRDefault="00B40E0E" w:rsidP="00B40E0E">
      <w:pPr>
        <w:spacing w:line="276" w:lineRule="auto"/>
        <w:rPr>
          <w:sz w:val="28"/>
          <w:szCs w:val="28"/>
        </w:rPr>
      </w:pPr>
      <w:r w:rsidRPr="008901B0">
        <w:rPr>
          <w:sz w:val="28"/>
          <w:szCs w:val="28"/>
        </w:rPr>
        <w:t xml:space="preserve">В городском округе Тольятти сохраняются многолетние спортивные традиции в проведении соревнований (легкоатлетическая эстафета, посвященная Дню Победы проводится более 50 лет, тольяттинский лыжный марафон – более 20 лет), в последнее десятилетие получили развитие новые спортивные традиции: детский фестиваль гандбола (более 10 лет), фестиваль «Жигули-Баскет», соревнования по месту жительства «Семейные старты», «Большая игра», «Зимний мяч», «Мяч над сеткой», фестиваль стритбола, фестиваль по фитнес-аэробике «Мир движения и красоты» и детско-юношеский фестиваль футбола. </w:t>
      </w:r>
    </w:p>
    <w:p w:rsidR="00B40E0E" w:rsidRPr="008901B0" w:rsidRDefault="00B40E0E" w:rsidP="00B40E0E">
      <w:pPr>
        <w:pStyle w:val="aff0"/>
        <w:spacing w:line="276" w:lineRule="auto"/>
        <w:rPr>
          <w:szCs w:val="28"/>
        </w:rPr>
      </w:pPr>
      <w:r w:rsidRPr="008901B0">
        <w:rPr>
          <w:szCs w:val="28"/>
        </w:rPr>
        <w:t>В отчетном периоде в городском округе Тольятти проведено 144 официальных физкультурно-спортивных мероприятия с общим количеством участников 63,5 тыс. чел</w:t>
      </w:r>
      <w:r w:rsidR="00300723">
        <w:rPr>
          <w:szCs w:val="28"/>
        </w:rPr>
        <w:t>овек</w:t>
      </w:r>
      <w:r w:rsidRPr="008901B0">
        <w:rPr>
          <w:szCs w:val="28"/>
        </w:rPr>
        <w:t>.</w:t>
      </w:r>
    </w:p>
    <w:p w:rsidR="00B40E0E" w:rsidRPr="008901B0" w:rsidRDefault="00B40E0E" w:rsidP="00B40E0E">
      <w:pPr>
        <w:pStyle w:val="aff0"/>
        <w:spacing w:line="276" w:lineRule="auto"/>
        <w:rPr>
          <w:szCs w:val="28"/>
        </w:rPr>
      </w:pPr>
      <w:r w:rsidRPr="008901B0">
        <w:rPr>
          <w:szCs w:val="28"/>
        </w:rPr>
        <w:t xml:space="preserve">Количество принявших участие в физкультурно-спортивных мероприятиях по сравнению с </w:t>
      </w:r>
      <w:r w:rsidR="00D10EC9">
        <w:rPr>
          <w:szCs w:val="28"/>
          <w:lang w:val="en-US"/>
        </w:rPr>
        <w:t>I</w:t>
      </w:r>
      <w:r w:rsidRPr="008901B0">
        <w:rPr>
          <w:szCs w:val="28"/>
        </w:rPr>
        <w:t xml:space="preserve"> полугодием 2021 года увеличилось на 48,5%, что обусловлено введением нового формата проведения физкультурно-массовых мероприятий, позволяющих учитывать тех, кто принял участие в мероприятиях на территориях учреждений в соответствии с положением о мероприятии и выполнением требований Роспотребнадзора для муниципальных бюджетных общеобразовательных организаций городского округа Тольятти. </w:t>
      </w:r>
    </w:p>
    <w:p w:rsidR="00B40E0E" w:rsidRPr="008901B0" w:rsidRDefault="00B40E0E" w:rsidP="00B40E0E">
      <w:pPr>
        <w:pStyle w:val="aff0"/>
        <w:spacing w:line="276" w:lineRule="auto"/>
        <w:rPr>
          <w:szCs w:val="28"/>
        </w:rPr>
      </w:pPr>
      <w:r w:rsidRPr="008901B0">
        <w:rPr>
          <w:szCs w:val="28"/>
        </w:rPr>
        <w:t>По разделу «Общегородские массовые физкультурные мероприятия и массовые спортивные мероприятия» количество проведенных мероприятий составило 29 ед</w:t>
      </w:r>
      <w:r w:rsidR="00653112">
        <w:rPr>
          <w:szCs w:val="28"/>
        </w:rPr>
        <w:t>иниц</w:t>
      </w:r>
      <w:r w:rsidRPr="008901B0">
        <w:rPr>
          <w:szCs w:val="28"/>
        </w:rPr>
        <w:t xml:space="preserve"> с участием 42,9 тыс. чел</w:t>
      </w:r>
      <w:r w:rsidR="00300723">
        <w:rPr>
          <w:szCs w:val="28"/>
        </w:rPr>
        <w:t>овек</w:t>
      </w:r>
      <w:r w:rsidRPr="008901B0">
        <w:rPr>
          <w:szCs w:val="28"/>
        </w:rPr>
        <w:t>. Количество участников увеличилось на 22,2 тыс. чел</w:t>
      </w:r>
      <w:r w:rsidR="00300723">
        <w:rPr>
          <w:szCs w:val="28"/>
        </w:rPr>
        <w:t>овек</w:t>
      </w:r>
      <w:r w:rsidRPr="008901B0">
        <w:rPr>
          <w:szCs w:val="28"/>
        </w:rPr>
        <w:t xml:space="preserve"> (в 2,1 раза) в связи со снятием ограничительных мероприятий для проведения физкультурных мероприятий и спортивных мероприятий в соответствии постановлением Губернатора Самарской области от 16.12.2020 № 258 «О комплексе мер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w:t>
      </w:r>
    </w:p>
    <w:p w:rsidR="00B40E0E" w:rsidRPr="007E7CF4" w:rsidRDefault="00B40E0E" w:rsidP="00B40E0E">
      <w:pPr>
        <w:pStyle w:val="aff0"/>
        <w:spacing w:line="276" w:lineRule="auto"/>
        <w:rPr>
          <w:szCs w:val="28"/>
        </w:rPr>
      </w:pPr>
      <w:r w:rsidRPr="008901B0">
        <w:rPr>
          <w:szCs w:val="28"/>
        </w:rPr>
        <w:t>По разделу «Спортивные соревнования по видам спорта» количество проведенных мероприятий составило 115 ед</w:t>
      </w:r>
      <w:r w:rsidR="00653112">
        <w:rPr>
          <w:szCs w:val="28"/>
        </w:rPr>
        <w:t>иниц</w:t>
      </w:r>
      <w:r w:rsidRPr="008901B0">
        <w:rPr>
          <w:szCs w:val="28"/>
        </w:rPr>
        <w:t xml:space="preserve">, что ниже на 6,5% относительно </w:t>
      </w:r>
      <w:r w:rsidR="00D10EC9">
        <w:rPr>
          <w:szCs w:val="28"/>
          <w:lang w:val="en-US"/>
        </w:rPr>
        <w:t>I</w:t>
      </w:r>
      <w:r w:rsidRPr="008901B0">
        <w:rPr>
          <w:szCs w:val="28"/>
        </w:rPr>
        <w:t xml:space="preserve"> полугодия 2021 года, количество участников снизилось на 6,7% и составило 20,6 тыс. чел</w:t>
      </w:r>
      <w:r w:rsidR="00D4280A">
        <w:rPr>
          <w:szCs w:val="28"/>
        </w:rPr>
        <w:t>овек</w:t>
      </w:r>
      <w:r w:rsidRPr="008901B0">
        <w:rPr>
          <w:szCs w:val="28"/>
        </w:rPr>
        <w:t xml:space="preserve">. Снижение количественного показателя спортивных мероприятий по видам спорта напрямую зависит от определения сроков календарных планов для проведения Всероссийских, региональных и вышестоящих соревнований, а также от подачи заявок организаторами на проведение мероприятий, либо переноса сроков проведения мероприятий по </w:t>
      </w:r>
      <w:r w:rsidRPr="007E7CF4">
        <w:rPr>
          <w:szCs w:val="28"/>
        </w:rPr>
        <w:t>требованию организаторов.</w:t>
      </w:r>
    </w:p>
    <w:p w:rsidR="00B40E0E" w:rsidRPr="007E7CF4" w:rsidRDefault="00B40E0E" w:rsidP="00B40E0E">
      <w:pPr>
        <w:pStyle w:val="aff0"/>
        <w:spacing w:line="276" w:lineRule="auto"/>
        <w:rPr>
          <w:szCs w:val="28"/>
        </w:rPr>
      </w:pPr>
      <w:r w:rsidRPr="007E7CF4">
        <w:rPr>
          <w:szCs w:val="28"/>
        </w:rPr>
        <w:t xml:space="preserve">Несмотря на наличие системной работы в городском округе Тольятти, как и в целом в стране, существуют проблемы, сдерживающие развитие физической культуры и спорта: в городском округе Тольятти низкая обеспеченность населения городского округа Тольятти спортивными сооружениями. </w:t>
      </w:r>
    </w:p>
    <w:p w:rsidR="00B40E0E" w:rsidRPr="007E7CF4" w:rsidRDefault="00B40E0E" w:rsidP="00B40E0E">
      <w:pPr>
        <w:pStyle w:val="aff0"/>
        <w:spacing w:line="276" w:lineRule="auto"/>
        <w:rPr>
          <w:szCs w:val="28"/>
        </w:rPr>
      </w:pPr>
      <w:r w:rsidRPr="007E7CF4">
        <w:rPr>
          <w:szCs w:val="28"/>
        </w:rPr>
        <w:t>По состоянию на 31.12.2021 общее количество спортивных сооружений составляет 882 ед</w:t>
      </w:r>
      <w:r w:rsidR="00653112">
        <w:rPr>
          <w:szCs w:val="28"/>
        </w:rPr>
        <w:t>иницы</w:t>
      </w:r>
      <w:r w:rsidRPr="007E7CF4">
        <w:rPr>
          <w:szCs w:val="28"/>
        </w:rPr>
        <w:t xml:space="preserve"> (согласно формы № 1-ФК «Сведения о физической культуре и спорте»), в том числе: стадионы - 2 ед</w:t>
      </w:r>
      <w:r w:rsidR="00653112">
        <w:rPr>
          <w:szCs w:val="28"/>
        </w:rPr>
        <w:t>иницы</w:t>
      </w:r>
      <w:r w:rsidRPr="007E7CF4">
        <w:rPr>
          <w:szCs w:val="28"/>
        </w:rPr>
        <w:t>, плоскостные площадки, футбольные поля - 475 ед</w:t>
      </w:r>
      <w:r w:rsidR="00653112">
        <w:rPr>
          <w:szCs w:val="28"/>
        </w:rPr>
        <w:t>иниц</w:t>
      </w:r>
      <w:r w:rsidRPr="007E7CF4">
        <w:rPr>
          <w:szCs w:val="28"/>
        </w:rPr>
        <w:t>, спортивные залы - 200 ед</w:t>
      </w:r>
      <w:r w:rsidR="00653112">
        <w:rPr>
          <w:szCs w:val="28"/>
        </w:rPr>
        <w:t>иниц</w:t>
      </w:r>
      <w:r w:rsidRPr="007E7CF4">
        <w:rPr>
          <w:szCs w:val="28"/>
        </w:rPr>
        <w:t>, крытые объекты с искусственным льдом - 6 ед</w:t>
      </w:r>
      <w:r w:rsidR="00653112">
        <w:rPr>
          <w:szCs w:val="28"/>
        </w:rPr>
        <w:t>иниц</w:t>
      </w:r>
      <w:r w:rsidRPr="007E7CF4">
        <w:rPr>
          <w:szCs w:val="28"/>
        </w:rPr>
        <w:t>, плавательные бассейны - 23 ед</w:t>
      </w:r>
      <w:r w:rsidR="00653112">
        <w:rPr>
          <w:szCs w:val="28"/>
        </w:rPr>
        <w:t>иницы</w:t>
      </w:r>
      <w:r w:rsidRPr="007E7CF4">
        <w:rPr>
          <w:szCs w:val="28"/>
        </w:rPr>
        <w:t>, лыжные базы - 3 ед</w:t>
      </w:r>
      <w:r w:rsidR="00653112">
        <w:rPr>
          <w:szCs w:val="28"/>
        </w:rPr>
        <w:t>иницы</w:t>
      </w:r>
      <w:r w:rsidRPr="007E7CF4">
        <w:rPr>
          <w:szCs w:val="28"/>
        </w:rPr>
        <w:t>, стрелковые тиры - 16 ед</w:t>
      </w:r>
      <w:r w:rsidR="00653112">
        <w:rPr>
          <w:szCs w:val="28"/>
        </w:rPr>
        <w:t>иниц</w:t>
      </w:r>
      <w:r w:rsidRPr="007E7CF4">
        <w:rPr>
          <w:szCs w:val="28"/>
        </w:rPr>
        <w:t>, объекты городской и рекреационной инфраструктуры – 44 ед</w:t>
      </w:r>
      <w:r w:rsidR="00653112">
        <w:rPr>
          <w:szCs w:val="28"/>
        </w:rPr>
        <w:t>иницы</w:t>
      </w:r>
      <w:r w:rsidRPr="007E7CF4">
        <w:rPr>
          <w:szCs w:val="28"/>
        </w:rPr>
        <w:t xml:space="preserve"> и другие спортивные сооружения - 113 ед</w:t>
      </w:r>
      <w:r w:rsidR="00653112">
        <w:rPr>
          <w:szCs w:val="28"/>
        </w:rPr>
        <w:t>иниц</w:t>
      </w:r>
      <w:r w:rsidRPr="007E7CF4">
        <w:rPr>
          <w:szCs w:val="28"/>
        </w:rPr>
        <w:t>.</w:t>
      </w:r>
    </w:p>
    <w:p w:rsidR="00B40E0E" w:rsidRPr="007E7CF4" w:rsidRDefault="00B40E0E" w:rsidP="00B40E0E">
      <w:pPr>
        <w:pStyle w:val="aff0"/>
        <w:spacing w:line="276" w:lineRule="auto"/>
        <w:rPr>
          <w:szCs w:val="28"/>
        </w:rPr>
      </w:pPr>
      <w:r w:rsidRPr="007E7CF4">
        <w:rPr>
          <w:szCs w:val="28"/>
        </w:rPr>
        <w:t>Распределение спортивных сооружений, расположенных на территории городского округа Тольятти, по формам собственности: в федеральной собственности - 36 ед</w:t>
      </w:r>
      <w:r w:rsidR="00653112">
        <w:rPr>
          <w:szCs w:val="28"/>
        </w:rPr>
        <w:t>иниц</w:t>
      </w:r>
      <w:r w:rsidRPr="007E7CF4">
        <w:rPr>
          <w:szCs w:val="28"/>
        </w:rPr>
        <w:t>, в собственности субъекта - 63 ед</w:t>
      </w:r>
      <w:r w:rsidR="00653112">
        <w:rPr>
          <w:szCs w:val="28"/>
        </w:rPr>
        <w:t>иниц</w:t>
      </w:r>
      <w:r w:rsidRPr="007E7CF4">
        <w:rPr>
          <w:szCs w:val="28"/>
        </w:rPr>
        <w:t>, в муниципальной собственности - 706 ед</w:t>
      </w:r>
      <w:r w:rsidR="00653112">
        <w:rPr>
          <w:szCs w:val="28"/>
        </w:rPr>
        <w:t>иниц</w:t>
      </w:r>
      <w:r w:rsidRPr="007E7CF4">
        <w:rPr>
          <w:szCs w:val="28"/>
        </w:rPr>
        <w:t>, в другой собственности - 77 ед</w:t>
      </w:r>
      <w:r w:rsidR="00653112">
        <w:rPr>
          <w:szCs w:val="28"/>
        </w:rPr>
        <w:t>иниц</w:t>
      </w:r>
      <w:r w:rsidRPr="007E7CF4">
        <w:rPr>
          <w:szCs w:val="28"/>
        </w:rPr>
        <w:t>.</w:t>
      </w:r>
    </w:p>
    <w:p w:rsidR="00B40E0E" w:rsidRPr="00DD688A" w:rsidRDefault="00B40E0E" w:rsidP="00B40E0E">
      <w:pPr>
        <w:pStyle w:val="aff0"/>
        <w:spacing w:line="276" w:lineRule="auto"/>
        <w:rPr>
          <w:szCs w:val="28"/>
        </w:rPr>
      </w:pPr>
      <w:r w:rsidRPr="00DD688A">
        <w:rPr>
          <w:szCs w:val="28"/>
        </w:rPr>
        <w:t>Анализ уровня фактической обеспеченности населения объектами спорта от нормативной потребности за 2021 год составляет – 32% (в 2020 году – 31,2%). Значение показателя рассчитано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 244 и д</w:t>
      </w:r>
      <w:r>
        <w:rPr>
          <w:szCs w:val="28"/>
        </w:rPr>
        <w:t xml:space="preserve">анным, представленным по форме </w:t>
      </w:r>
      <w:r w:rsidRPr="00DD688A">
        <w:rPr>
          <w:szCs w:val="28"/>
        </w:rPr>
        <w:t>№ 1-ФК «Сведения о физической культуре и спорте» за 2021 год.</w:t>
      </w:r>
    </w:p>
    <w:p w:rsidR="00B40E0E" w:rsidRPr="00474A74" w:rsidRDefault="00B40E0E" w:rsidP="00B40E0E">
      <w:pPr>
        <w:pStyle w:val="aff0"/>
        <w:spacing w:line="276" w:lineRule="auto"/>
        <w:rPr>
          <w:szCs w:val="28"/>
        </w:rPr>
      </w:pPr>
      <w:r w:rsidRPr="00474A74">
        <w:rPr>
          <w:szCs w:val="28"/>
        </w:rPr>
        <w:t xml:space="preserve">Приоритетное направление работы по развитию физической культуры и спорта –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увеличение пропускной способности. </w:t>
      </w:r>
    </w:p>
    <w:p w:rsidR="00B40E0E" w:rsidRPr="00474A74" w:rsidRDefault="00B40E0E" w:rsidP="00BD202A">
      <w:pPr>
        <w:pStyle w:val="aff0"/>
        <w:spacing w:line="276" w:lineRule="auto"/>
        <w:rPr>
          <w:szCs w:val="28"/>
        </w:rPr>
      </w:pPr>
      <w:r w:rsidRPr="00474A74">
        <w:rPr>
          <w:szCs w:val="28"/>
        </w:rPr>
        <w:t>В 2021 году из средств местного бюджета в рамках муниципальной программы «Развитие физической культуры и спорта на территории городского округа Тольятти на 2017-2021 годы» реализованы мероприятия по развитию спортивной инфраструктуры:</w:t>
      </w:r>
    </w:p>
    <w:p w:rsidR="00B40E0E" w:rsidRPr="00474A74" w:rsidRDefault="00B40E0E" w:rsidP="00BD202A">
      <w:pPr>
        <w:pStyle w:val="aff0"/>
        <w:spacing w:line="276" w:lineRule="auto"/>
        <w:rPr>
          <w:szCs w:val="28"/>
        </w:rPr>
      </w:pPr>
      <w:r w:rsidRPr="00474A74">
        <w:rPr>
          <w:szCs w:val="28"/>
        </w:rPr>
        <w:t>- монтаж оборудования индивидуального теплового пункта здания спортивного комплекса «Кристалл» МБУ СШОР № 13 «Волгарь» (ул. Баныкина, 9);</w:t>
      </w:r>
    </w:p>
    <w:p w:rsidR="00B40E0E" w:rsidRPr="00474A74" w:rsidRDefault="00B40E0E" w:rsidP="00BD202A">
      <w:pPr>
        <w:pStyle w:val="aff0"/>
        <w:spacing w:line="276" w:lineRule="auto"/>
        <w:rPr>
          <w:szCs w:val="28"/>
        </w:rPr>
      </w:pPr>
      <w:r w:rsidRPr="00474A74">
        <w:rPr>
          <w:szCs w:val="28"/>
        </w:rPr>
        <w:t>- разработана проектно-сметная документация с положительным заключением государственной экспертизы на капитальный ремонт футбольного поля спортивного комплекса «Спутник»;</w:t>
      </w:r>
    </w:p>
    <w:p w:rsidR="00B40E0E" w:rsidRPr="00DE1265" w:rsidRDefault="00B40E0E" w:rsidP="00BD202A">
      <w:pPr>
        <w:pStyle w:val="aff0"/>
        <w:spacing w:line="276" w:lineRule="auto"/>
        <w:rPr>
          <w:szCs w:val="28"/>
        </w:rPr>
      </w:pPr>
      <w:r w:rsidRPr="00474A74">
        <w:rPr>
          <w:szCs w:val="28"/>
        </w:rPr>
        <w:t xml:space="preserve">- мероприятия по доведению объектов до требований пожарной </w:t>
      </w:r>
      <w:r w:rsidRPr="00DE1265">
        <w:rPr>
          <w:szCs w:val="28"/>
        </w:rPr>
        <w:t>безопасности (ремонт АПС и СОУЭ) на объектах МБУ СШОР № 2 «Красные Крылья», МБУДО СШОР № 7 «Акробат», МБУ СШОР № 9 «Велотол».</w:t>
      </w:r>
    </w:p>
    <w:p w:rsidR="00B40E0E" w:rsidRPr="00B12E1C" w:rsidRDefault="00B40E0E" w:rsidP="00BD202A">
      <w:pPr>
        <w:pStyle w:val="aff0"/>
        <w:spacing w:line="276" w:lineRule="auto"/>
        <w:rPr>
          <w:szCs w:val="28"/>
        </w:rPr>
      </w:pPr>
      <w:r w:rsidRPr="00DE1265">
        <w:rPr>
          <w:szCs w:val="28"/>
        </w:rPr>
        <w:t xml:space="preserve">В рамках государственной программы Самарской области «Развитие физической культуры и спорта в Самарской области на 2014-2024 годы» и региональной составляющей федерального проекта «Спорт – норма жизни» национального проекта «Демография» </w:t>
      </w:r>
      <w:r w:rsidRPr="00B12E1C">
        <w:rPr>
          <w:szCs w:val="28"/>
        </w:rPr>
        <w:t>в 2021 году на территории городского округа Тольятти построены следующие спортивные объекты:</w:t>
      </w:r>
    </w:p>
    <w:p w:rsidR="00B40E0E" w:rsidRPr="00DE1265" w:rsidRDefault="00B40E0E" w:rsidP="00BD202A">
      <w:pPr>
        <w:pStyle w:val="aff0"/>
        <w:spacing w:line="276" w:lineRule="auto"/>
        <w:rPr>
          <w:szCs w:val="28"/>
        </w:rPr>
      </w:pPr>
      <w:r w:rsidRPr="00DE1265">
        <w:rPr>
          <w:szCs w:val="28"/>
        </w:rPr>
        <w:t xml:space="preserve">- легкоатлетический манеж (ул. Спортивная, 40); </w:t>
      </w:r>
    </w:p>
    <w:p w:rsidR="00B40E0E" w:rsidRPr="00DE1265" w:rsidRDefault="00B40E0E" w:rsidP="00BD202A">
      <w:pPr>
        <w:pStyle w:val="aff0"/>
        <w:spacing w:line="276" w:lineRule="auto"/>
        <w:rPr>
          <w:szCs w:val="28"/>
        </w:rPr>
      </w:pPr>
      <w:r w:rsidRPr="00DE1265">
        <w:rPr>
          <w:szCs w:val="28"/>
        </w:rPr>
        <w:t xml:space="preserve">- спортивная площадка </w:t>
      </w:r>
      <w:r w:rsidRPr="00B12E1C">
        <w:rPr>
          <w:szCs w:val="28"/>
        </w:rPr>
        <w:t>с покрытием искусственная трава 56х28 м (в виде хоккейного корта с искусственной травой) на территории МБУ Школа № 32 (б-р Буденного, 4).</w:t>
      </w:r>
    </w:p>
    <w:p w:rsidR="00B40E0E" w:rsidRPr="00DB1F71" w:rsidRDefault="00B40E0E" w:rsidP="00BD202A">
      <w:pPr>
        <w:pStyle w:val="aff0"/>
        <w:spacing w:line="276" w:lineRule="auto"/>
        <w:rPr>
          <w:szCs w:val="28"/>
        </w:rPr>
      </w:pPr>
      <w:r w:rsidRPr="009F18BA">
        <w:rPr>
          <w:szCs w:val="28"/>
        </w:rPr>
        <w:t>В 2021 году введен в эксплуатацию физкультурно-оздоровительный комплекс «Чайка» Тольяттинского государственного университета (ул. Ушакова, 61) в рамках Федерального проекта «500 бассейнов» с целью создания условий для массовых занятий водными видами спорта.</w:t>
      </w:r>
    </w:p>
    <w:p w:rsidR="00B40E0E" w:rsidRPr="00474A74" w:rsidRDefault="00B40E0E" w:rsidP="00BD202A">
      <w:pPr>
        <w:pStyle w:val="aff0"/>
        <w:spacing w:line="276" w:lineRule="auto"/>
        <w:rPr>
          <w:szCs w:val="28"/>
        </w:rPr>
      </w:pPr>
      <w:r w:rsidRPr="00474A74">
        <w:rPr>
          <w:szCs w:val="28"/>
        </w:rPr>
        <w:t>В рамках реализации муниципальной программой «Развитие физической культуры и спорта в городском округе Тольятти на 2022-2026 годы» в 2022 году запланированы мероприятия по развитию спортивной инфраструктуры:</w:t>
      </w:r>
    </w:p>
    <w:p w:rsidR="00B40E0E" w:rsidRPr="00474A74" w:rsidRDefault="00B40E0E" w:rsidP="00BD202A">
      <w:pPr>
        <w:pStyle w:val="aff0"/>
        <w:spacing w:line="276" w:lineRule="auto"/>
        <w:rPr>
          <w:szCs w:val="28"/>
        </w:rPr>
      </w:pPr>
      <w:r w:rsidRPr="00CA428C">
        <w:rPr>
          <w:szCs w:val="28"/>
        </w:rPr>
        <w:t>- проектирование физкультурно-оздоровительного комплекса по адресу: г. Тольятти, Комсомольский район, ул. Гидротехническая, 36</w:t>
      </w:r>
      <w:r w:rsidR="00CA428C" w:rsidRPr="00CA428C">
        <w:rPr>
          <w:szCs w:val="28"/>
        </w:rPr>
        <w:t xml:space="preserve"> (проект находится на гос. экспертизе)</w:t>
      </w:r>
      <w:r w:rsidRPr="00CA428C">
        <w:rPr>
          <w:szCs w:val="28"/>
        </w:rPr>
        <w:t>;</w:t>
      </w:r>
    </w:p>
    <w:p w:rsidR="00B40E0E" w:rsidRPr="00474A74" w:rsidRDefault="00B40E0E" w:rsidP="00B40E0E">
      <w:pPr>
        <w:pStyle w:val="aff0"/>
        <w:spacing w:line="276" w:lineRule="auto"/>
        <w:rPr>
          <w:szCs w:val="28"/>
        </w:rPr>
      </w:pPr>
      <w:r w:rsidRPr="00474A74">
        <w:rPr>
          <w:szCs w:val="28"/>
        </w:rPr>
        <w:t>- разработка проектно-сметной документации на капитальный ремонт стадиона «Дружба» МБУДО СШОР № 12 «Лада», расположенного по адресу: г. Тольятти, Комсомольский район, севернее домов №№ 19 и 21 по ул. Никонова;</w:t>
      </w:r>
    </w:p>
    <w:p w:rsidR="00B40E0E" w:rsidRPr="00474A74" w:rsidRDefault="00B40E0E" w:rsidP="00B40E0E">
      <w:pPr>
        <w:pStyle w:val="aff0"/>
        <w:spacing w:line="276" w:lineRule="auto"/>
        <w:rPr>
          <w:szCs w:val="28"/>
        </w:rPr>
      </w:pPr>
      <w:r w:rsidRPr="00474A74">
        <w:rPr>
          <w:szCs w:val="28"/>
        </w:rPr>
        <w:t>- разработка проектно-сметной документации на капитальный ремонт спортивного комплекса МБУДО СШОР № 7 «Акробат», расположенного по адресу: г. Тольятти, Комсомольский район, ул. Матросова, 5а.</w:t>
      </w:r>
    </w:p>
    <w:p w:rsidR="00B40E0E" w:rsidRDefault="00B40E0E" w:rsidP="00B40E0E">
      <w:pPr>
        <w:pStyle w:val="aff0"/>
        <w:spacing w:line="276" w:lineRule="auto"/>
        <w:rPr>
          <w:szCs w:val="28"/>
        </w:rPr>
      </w:pPr>
      <w:r w:rsidRPr="00474A74">
        <w:rPr>
          <w:szCs w:val="28"/>
        </w:rPr>
        <w:t xml:space="preserve">В рамках национального проекта «Демография», а также государственной программы Самарской области «Развитие физической культуры и спорта в Самарской области на 2014-2024 годы», согласно приказу </w:t>
      </w:r>
      <w:r w:rsidR="005E6568">
        <w:rPr>
          <w:szCs w:val="28"/>
        </w:rPr>
        <w:t>м</w:t>
      </w:r>
      <w:r w:rsidRPr="00474A74">
        <w:rPr>
          <w:szCs w:val="28"/>
        </w:rPr>
        <w:t xml:space="preserve">инистерства спорта Самарской области от 08.06.2022г. № № 514-п в 2022 году на территории городского округа Тольятти  </w:t>
      </w:r>
      <w:r w:rsidR="00067399">
        <w:rPr>
          <w:szCs w:val="28"/>
        </w:rPr>
        <w:t xml:space="preserve">выполнено </w:t>
      </w:r>
      <w:r w:rsidRPr="00474A74">
        <w:rPr>
          <w:szCs w:val="28"/>
        </w:rPr>
        <w:t>устройство спортивной площадки с покрытием искусственная трава 20х</w:t>
      </w:r>
      <w:r w:rsidR="00A1412C">
        <w:rPr>
          <w:szCs w:val="28"/>
        </w:rPr>
        <w:t xml:space="preserve">40м на территории на территории </w:t>
      </w:r>
      <w:r w:rsidRPr="00474A74">
        <w:rPr>
          <w:szCs w:val="28"/>
        </w:rPr>
        <w:t>Государственного бюджетного общеобразовательного учреждения Самарс</w:t>
      </w:r>
      <w:r>
        <w:rPr>
          <w:szCs w:val="28"/>
        </w:rPr>
        <w:t>кой области  «Школа-интернат» № </w:t>
      </w:r>
      <w:r w:rsidRPr="00474A74">
        <w:rPr>
          <w:szCs w:val="28"/>
        </w:rPr>
        <w:t>3   для обучающихся с ограниченными возможностями здоровья городского округа Тольятти (Самарская область, г. Тольятти, Комсомольский район, ул. Матросова, 31).</w:t>
      </w:r>
    </w:p>
    <w:p w:rsidR="00447128" w:rsidRPr="00474A74" w:rsidRDefault="00447128" w:rsidP="00B40E0E">
      <w:pPr>
        <w:pStyle w:val="aff0"/>
        <w:spacing w:line="276" w:lineRule="auto"/>
        <w:rPr>
          <w:szCs w:val="28"/>
        </w:rPr>
      </w:pPr>
      <w:r>
        <w:rPr>
          <w:szCs w:val="28"/>
        </w:rPr>
        <w:t xml:space="preserve">Кроме того, в 2022 году </w:t>
      </w:r>
      <w:r w:rsidR="00806F2B">
        <w:rPr>
          <w:szCs w:val="28"/>
        </w:rPr>
        <w:t xml:space="preserve">введен в эксплуатацию </w:t>
      </w:r>
      <w:r>
        <w:rPr>
          <w:szCs w:val="28"/>
        </w:rPr>
        <w:t>физкультурно-оздоровительн</w:t>
      </w:r>
      <w:r w:rsidR="00806F2B">
        <w:rPr>
          <w:szCs w:val="28"/>
        </w:rPr>
        <w:t>ый</w:t>
      </w:r>
      <w:r>
        <w:rPr>
          <w:szCs w:val="28"/>
        </w:rPr>
        <w:t xml:space="preserve"> комплекс с бассейном, катком и универсальном залом в Комсомольском районе (ул. Коммунистическая, 88).</w:t>
      </w:r>
    </w:p>
    <w:p w:rsidR="00B40E0E" w:rsidRPr="00474A74" w:rsidRDefault="00B40E0E" w:rsidP="00B40E0E">
      <w:pPr>
        <w:pStyle w:val="aff0"/>
        <w:spacing w:line="276" w:lineRule="auto"/>
        <w:rPr>
          <w:szCs w:val="28"/>
        </w:rPr>
      </w:pPr>
      <w:r w:rsidRPr="00474A74">
        <w:rPr>
          <w:szCs w:val="28"/>
        </w:rPr>
        <w:t>Основным показателем развития отрасли является доля граждан населения, систематически занимающихся физической культурой и спортом. Данный показатель по городскому округу Тольятти - в 2020 году составил 44,2</w:t>
      </w:r>
      <w:r>
        <w:rPr>
          <w:szCs w:val="28"/>
        </w:rPr>
        <w:t>1</w:t>
      </w:r>
      <w:r w:rsidRPr="00474A74">
        <w:rPr>
          <w:szCs w:val="28"/>
        </w:rPr>
        <w:t>%, в 2021 году - 47,19% и в 2022 году планируется не менее - 50%.</w:t>
      </w:r>
    </w:p>
    <w:p w:rsidR="00B40E0E" w:rsidRPr="00474A74" w:rsidRDefault="00B40E0E" w:rsidP="00B40E0E">
      <w:pPr>
        <w:pStyle w:val="aff0"/>
        <w:spacing w:line="276" w:lineRule="auto"/>
        <w:rPr>
          <w:szCs w:val="28"/>
        </w:rPr>
      </w:pPr>
      <w:r w:rsidRPr="00474A74">
        <w:rPr>
          <w:szCs w:val="28"/>
        </w:rPr>
        <w:t>Для положительной динамики численности населения систематически занимающихся физической культурой и спортом в прогнозируемый период управлением физической культуры и спорта планируется для совершенствования работы по месту жительства граждан введение ставок инструкторов.</w:t>
      </w:r>
    </w:p>
    <w:p w:rsidR="00B40E0E" w:rsidRPr="00474A74" w:rsidRDefault="00B40E0E" w:rsidP="00B40E0E">
      <w:pPr>
        <w:pStyle w:val="aff0"/>
        <w:spacing w:line="276" w:lineRule="auto"/>
        <w:rPr>
          <w:szCs w:val="28"/>
        </w:rPr>
      </w:pPr>
      <w:r w:rsidRPr="00474A74">
        <w:rPr>
          <w:szCs w:val="28"/>
        </w:rPr>
        <w:t>Кадровая обеспеченность отрасли «Физическая культура и спорт» согласно данным, представленным по форме № 1-ФК «Сведения о физической культуре и спорте» за 2021 год по состоянию на 31.12.2021 в городском округе Тольятти в организациях различных организационно-правовых форм и видов собственности имеется около 2,2 тыс. физкультурных работников, из них: с высшим физкультурным образованием 1,4 тыс. человек, со средним физкультурным образованием -  около 0,7 тыс. человек.</w:t>
      </w:r>
    </w:p>
    <w:p w:rsidR="00B40E0E" w:rsidRPr="00474A74" w:rsidRDefault="00B40E0E" w:rsidP="00B40E0E">
      <w:pPr>
        <w:pStyle w:val="aff0"/>
        <w:spacing w:line="276" w:lineRule="auto"/>
        <w:rPr>
          <w:szCs w:val="28"/>
        </w:rPr>
      </w:pPr>
      <w:r w:rsidRPr="00474A74">
        <w:rPr>
          <w:szCs w:val="28"/>
        </w:rPr>
        <w:t>По данным формы № 5-ФК «Сведения по организациям, осуществляющим спортивную подготовку» за 2021 год: в спортивных школах городского округа Тольятти работали 357 тренеров и тренеров-преподавателей, из них штатных работников – 284 человека. В сравнении с 2020 годом кадровый состав тренеров снизился на 4 чел</w:t>
      </w:r>
      <w:r w:rsidR="00D4280A">
        <w:rPr>
          <w:szCs w:val="28"/>
        </w:rPr>
        <w:t>овека</w:t>
      </w:r>
      <w:r w:rsidRPr="00474A74">
        <w:rPr>
          <w:szCs w:val="28"/>
        </w:rPr>
        <w:t>, по штатным работникам - на 6 человек, что обусловлено оптимизацией работы в учреждениях отрасли.</w:t>
      </w:r>
    </w:p>
    <w:p w:rsidR="00B40E0E" w:rsidRPr="00474A74" w:rsidRDefault="00B40E0E" w:rsidP="00B40E0E">
      <w:pPr>
        <w:pStyle w:val="aff0"/>
        <w:spacing w:line="276" w:lineRule="auto"/>
        <w:rPr>
          <w:szCs w:val="28"/>
        </w:rPr>
      </w:pPr>
      <w:r w:rsidRPr="00474A74">
        <w:rPr>
          <w:szCs w:val="28"/>
        </w:rPr>
        <w:t>16 тренеров имеют звание «Заслуженный тренер России», высшую квалификационную категорию имеют 106 чел</w:t>
      </w:r>
      <w:r w:rsidR="00D4280A">
        <w:rPr>
          <w:szCs w:val="28"/>
        </w:rPr>
        <w:t>овек</w:t>
      </w:r>
      <w:r w:rsidRPr="00474A74">
        <w:rPr>
          <w:szCs w:val="28"/>
        </w:rPr>
        <w:t xml:space="preserve">, первую </w:t>
      </w:r>
      <w:r w:rsidR="00A1412C">
        <w:rPr>
          <w:szCs w:val="28"/>
        </w:rPr>
        <w:t>-</w:t>
      </w:r>
      <w:r w:rsidRPr="00474A74">
        <w:rPr>
          <w:szCs w:val="28"/>
        </w:rPr>
        <w:t xml:space="preserve"> 52 чел</w:t>
      </w:r>
      <w:r w:rsidR="00D4280A">
        <w:rPr>
          <w:szCs w:val="28"/>
        </w:rPr>
        <w:t>овек</w:t>
      </w:r>
      <w:r w:rsidRPr="00474A74">
        <w:rPr>
          <w:szCs w:val="28"/>
        </w:rPr>
        <w:t xml:space="preserve">, вторую </w:t>
      </w:r>
      <w:r w:rsidR="00A1412C">
        <w:rPr>
          <w:szCs w:val="28"/>
        </w:rPr>
        <w:t>-</w:t>
      </w:r>
      <w:r w:rsidRPr="00474A74">
        <w:rPr>
          <w:szCs w:val="28"/>
        </w:rPr>
        <w:t xml:space="preserve"> 44 чел</w:t>
      </w:r>
      <w:r w:rsidR="00D4280A">
        <w:rPr>
          <w:szCs w:val="28"/>
        </w:rPr>
        <w:t>овек</w:t>
      </w:r>
      <w:r w:rsidRPr="00474A74">
        <w:rPr>
          <w:szCs w:val="28"/>
        </w:rPr>
        <w:t>.</w:t>
      </w:r>
    </w:p>
    <w:p w:rsidR="00B40E0E" w:rsidRPr="00474A74" w:rsidRDefault="00B40E0E" w:rsidP="00B40E0E">
      <w:pPr>
        <w:pStyle w:val="aff0"/>
        <w:spacing w:line="276" w:lineRule="auto"/>
        <w:rPr>
          <w:szCs w:val="28"/>
        </w:rPr>
      </w:pPr>
      <w:r w:rsidRPr="00474A74">
        <w:rPr>
          <w:szCs w:val="28"/>
        </w:rPr>
        <w:t xml:space="preserve">В целях обучения тренеров, развития у них мотивационного стремления к увеличению спортивных достижений и показателей в работе с занимающимися руководством спортивных школ городского округа Тольятти систематически проводились методические тренинги и семинары, как в пределах городского округа Тольятти, так и на выезде. </w:t>
      </w:r>
    </w:p>
    <w:p w:rsidR="00B40E0E" w:rsidRPr="00474A74" w:rsidRDefault="00B40E0E" w:rsidP="00B40E0E">
      <w:pPr>
        <w:pStyle w:val="aff0"/>
        <w:spacing w:line="276" w:lineRule="auto"/>
        <w:rPr>
          <w:szCs w:val="28"/>
        </w:rPr>
      </w:pPr>
      <w:r w:rsidRPr="00474A74">
        <w:rPr>
          <w:szCs w:val="28"/>
        </w:rPr>
        <w:t xml:space="preserve">В настоящее время отсутствует острая проблема с укомплектованностью тренерами и специалистами 14 муниципальных учреждений, </w:t>
      </w:r>
      <w:r w:rsidR="00582436">
        <w:rPr>
          <w:szCs w:val="28"/>
        </w:rPr>
        <w:t>в</w:t>
      </w:r>
      <w:r w:rsidRPr="00474A74">
        <w:rPr>
          <w:szCs w:val="28"/>
        </w:rPr>
        <w:t>озникающие вакансии оперативно заполняются в соответствии с потребностью.</w:t>
      </w:r>
    </w:p>
    <w:p w:rsidR="00B40E0E" w:rsidRPr="00474A74" w:rsidRDefault="00B40E0E" w:rsidP="00B40E0E">
      <w:pPr>
        <w:pStyle w:val="aff0"/>
        <w:spacing w:line="276" w:lineRule="auto"/>
        <w:rPr>
          <w:szCs w:val="28"/>
        </w:rPr>
      </w:pPr>
      <w:r w:rsidRPr="00474A74">
        <w:rPr>
          <w:szCs w:val="28"/>
        </w:rPr>
        <w:t>В сфере физической культуры и спорта населению городского округа Тольятти оказываются услуги:</w:t>
      </w:r>
    </w:p>
    <w:p w:rsidR="00B40E0E" w:rsidRPr="00474A74" w:rsidRDefault="00B40E0E" w:rsidP="00B40E0E">
      <w:pPr>
        <w:pStyle w:val="aff0"/>
        <w:spacing w:line="276" w:lineRule="auto"/>
        <w:rPr>
          <w:szCs w:val="28"/>
        </w:rPr>
      </w:pPr>
      <w:r w:rsidRPr="00474A74">
        <w:rPr>
          <w:szCs w:val="28"/>
        </w:rPr>
        <w:t xml:space="preserve">- муниципальные услуги «Спортивная подготовка по видам спорта»; </w:t>
      </w:r>
    </w:p>
    <w:p w:rsidR="00B40E0E" w:rsidRPr="00474A74" w:rsidRDefault="00B40E0E" w:rsidP="00B40E0E">
      <w:pPr>
        <w:pStyle w:val="aff0"/>
        <w:spacing w:line="276" w:lineRule="auto"/>
        <w:rPr>
          <w:szCs w:val="28"/>
        </w:rPr>
      </w:pPr>
      <w:r w:rsidRPr="00474A74">
        <w:rPr>
          <w:szCs w:val="28"/>
        </w:rPr>
        <w:t>- муниципальная услуга «Реализация дополнительных предпрофессиональных программ в области физической культуры и спорта»;</w:t>
      </w:r>
    </w:p>
    <w:p w:rsidR="00B40E0E" w:rsidRPr="00474A74" w:rsidRDefault="00B40E0E" w:rsidP="00B40E0E">
      <w:pPr>
        <w:pStyle w:val="aff0"/>
        <w:spacing w:line="276" w:lineRule="auto"/>
        <w:rPr>
          <w:szCs w:val="28"/>
        </w:rPr>
      </w:pPr>
      <w:r w:rsidRPr="00474A74">
        <w:rPr>
          <w:szCs w:val="28"/>
        </w:rPr>
        <w:t>- платные услуги, оказываемые в муниципальных спортивных объектах, находящихся в оперативном управлении муниципальных спортивных школ.</w:t>
      </w:r>
    </w:p>
    <w:p w:rsidR="00B40E0E" w:rsidRPr="00474A74" w:rsidRDefault="00B40E0E" w:rsidP="00B40E0E">
      <w:pPr>
        <w:pStyle w:val="aff0"/>
        <w:spacing w:line="276" w:lineRule="auto"/>
        <w:rPr>
          <w:szCs w:val="28"/>
        </w:rPr>
      </w:pPr>
      <w:r w:rsidRPr="00474A74">
        <w:rPr>
          <w:szCs w:val="28"/>
        </w:rPr>
        <w:t>Проблема по качественному предоставлению платных услуг, оказываемых на муниципальных спортивных объектах, является следствием отсутствия средств на проведение мероприятий по капитальному ремонту и реконструкции данных объектов.</w:t>
      </w:r>
    </w:p>
    <w:p w:rsidR="00B40E0E" w:rsidRPr="00474A74" w:rsidRDefault="00B40E0E" w:rsidP="00B40E0E">
      <w:pPr>
        <w:pStyle w:val="aff0"/>
        <w:spacing w:line="276" w:lineRule="auto"/>
        <w:rPr>
          <w:szCs w:val="28"/>
        </w:rPr>
      </w:pPr>
      <w:r w:rsidRPr="00474A74">
        <w:rPr>
          <w:szCs w:val="28"/>
        </w:rPr>
        <w:t xml:space="preserve">В целях привлечения работающих граждан к физической подготовке и последующей сдаче нормативов Всероссийского физкультурно-спортивного комплекса «Готов к труду и обороне» руководителям промышленных предприятий необходимо предусмотреть в коллективных договорах меры по стимулированию работников, участвующих в подготовке и сдаче нормативов. </w:t>
      </w:r>
    </w:p>
    <w:p w:rsidR="00B40E0E" w:rsidRPr="00474A74" w:rsidRDefault="00B40E0E" w:rsidP="00B40E0E">
      <w:pPr>
        <w:pStyle w:val="aff0"/>
        <w:spacing w:line="276" w:lineRule="auto"/>
        <w:rPr>
          <w:szCs w:val="28"/>
        </w:rPr>
      </w:pPr>
      <w:r>
        <w:rPr>
          <w:szCs w:val="28"/>
        </w:rPr>
        <w:t>Кроме того, н</w:t>
      </w:r>
      <w:r w:rsidRPr="00474A74">
        <w:rPr>
          <w:szCs w:val="28"/>
        </w:rPr>
        <w:t xml:space="preserve">еобходимо открытие дополнительных физкультурно-спортивных клубов по работе с населением по месту жительства (включая кадровое и материально техническое обеспечение) до нормативной потребности. Реконструированные и вновь построенные спортивные объекты позволят проводить на более высоком уровне спортивные мероприятия для жителей городского округа Тольятти, а также соревнований любого ранга, (включая всероссийский и международный), что будет способствовать популяризации среди населения здорового образа жизни. </w:t>
      </w:r>
    </w:p>
    <w:p w:rsidR="00B40E0E" w:rsidRPr="00474A74" w:rsidRDefault="00B40E0E" w:rsidP="00B40E0E">
      <w:pPr>
        <w:pStyle w:val="aff0"/>
        <w:spacing w:line="276" w:lineRule="auto"/>
        <w:rPr>
          <w:szCs w:val="28"/>
        </w:rPr>
      </w:pPr>
      <w:r w:rsidRPr="00474A74">
        <w:rPr>
          <w:szCs w:val="28"/>
        </w:rPr>
        <w:t xml:space="preserve">Строительство сооружений непосредственно в жилых кварталах обеспечит шаговую доступность для жителей разного возраста, а также доступность для инвалидов. Наличие спортивных объектов будет способствовать созданию сети спортивных клубов по месту жительства. </w:t>
      </w:r>
    </w:p>
    <w:p w:rsidR="00582436" w:rsidRDefault="00582436" w:rsidP="00B40E0E">
      <w:pPr>
        <w:spacing w:line="276" w:lineRule="auto"/>
        <w:ind w:firstLine="0"/>
        <w:jc w:val="center"/>
        <w:rPr>
          <w:sz w:val="28"/>
          <w:szCs w:val="28"/>
        </w:rPr>
      </w:pPr>
    </w:p>
    <w:p w:rsidR="00B40E0E" w:rsidRPr="00832738" w:rsidRDefault="00B40E0E" w:rsidP="00B40E0E">
      <w:pPr>
        <w:spacing w:line="276" w:lineRule="auto"/>
        <w:ind w:firstLine="0"/>
        <w:jc w:val="center"/>
        <w:rPr>
          <w:sz w:val="28"/>
          <w:szCs w:val="28"/>
        </w:rPr>
      </w:pPr>
      <w:r w:rsidRPr="00832738">
        <w:rPr>
          <w:sz w:val="28"/>
          <w:szCs w:val="28"/>
        </w:rPr>
        <w:t>Ожидаемое выполнение прогнозных показателей по разделу</w:t>
      </w:r>
    </w:p>
    <w:p w:rsidR="00B40E0E" w:rsidRPr="00832738" w:rsidRDefault="00B40E0E" w:rsidP="00B40E0E">
      <w:pPr>
        <w:spacing w:line="276" w:lineRule="auto"/>
        <w:ind w:firstLine="0"/>
        <w:jc w:val="center"/>
        <w:rPr>
          <w:sz w:val="28"/>
          <w:szCs w:val="28"/>
        </w:rPr>
      </w:pPr>
      <w:r w:rsidRPr="00832738">
        <w:rPr>
          <w:sz w:val="28"/>
          <w:szCs w:val="28"/>
        </w:rPr>
        <w:t>«Физическая культура и спорт» на 2022 год</w:t>
      </w:r>
    </w:p>
    <w:p w:rsidR="00B40E0E" w:rsidRPr="00CF6061" w:rsidRDefault="00B40E0E" w:rsidP="00B40E0E">
      <w:pPr>
        <w:spacing w:line="276" w:lineRule="auto"/>
        <w:ind w:firstLine="0"/>
        <w:jc w:val="center"/>
        <w:rPr>
          <w:sz w:val="28"/>
          <w:szCs w:val="28"/>
          <w:highlight w:val="yellow"/>
        </w:rPr>
      </w:pPr>
    </w:p>
    <w:tbl>
      <w:tblPr>
        <w:tblW w:w="0" w:type="auto"/>
        <w:tblInd w:w="108" w:type="dxa"/>
        <w:tblLayout w:type="fixed"/>
        <w:tblLook w:val="0000" w:firstRow="0" w:lastRow="0" w:firstColumn="0" w:lastColumn="0" w:noHBand="0" w:noVBand="0"/>
      </w:tblPr>
      <w:tblGrid>
        <w:gridCol w:w="3828"/>
        <w:gridCol w:w="937"/>
        <w:gridCol w:w="1614"/>
        <w:gridCol w:w="1701"/>
        <w:gridCol w:w="1276"/>
      </w:tblGrid>
      <w:tr w:rsidR="00B40E0E" w:rsidRPr="00CF6061" w:rsidTr="00B40E0E">
        <w:trPr>
          <w:trHeight w:hRule="exact" w:val="490"/>
          <w:tblHeader/>
        </w:trPr>
        <w:tc>
          <w:tcPr>
            <w:tcW w:w="3828" w:type="dxa"/>
            <w:vMerge w:val="restart"/>
            <w:tcBorders>
              <w:top w:val="single" w:sz="4" w:space="0" w:color="000000"/>
              <w:left w:val="single" w:sz="4" w:space="0" w:color="000000"/>
              <w:bottom w:val="single" w:sz="4" w:space="0" w:color="000000"/>
            </w:tcBorders>
            <w:vAlign w:val="center"/>
          </w:tcPr>
          <w:p w:rsidR="00B40E0E" w:rsidRPr="00786FBD" w:rsidRDefault="00B40E0E" w:rsidP="00B40E0E">
            <w:pPr>
              <w:snapToGrid w:val="0"/>
              <w:spacing w:line="276" w:lineRule="auto"/>
              <w:ind w:firstLine="851"/>
              <w:rPr>
                <w:sz w:val="28"/>
                <w:szCs w:val="28"/>
              </w:rPr>
            </w:pPr>
            <w:r w:rsidRPr="00786FBD">
              <w:rPr>
                <w:sz w:val="28"/>
                <w:szCs w:val="28"/>
              </w:rPr>
              <w:t>Показатели</w:t>
            </w:r>
          </w:p>
        </w:tc>
        <w:tc>
          <w:tcPr>
            <w:tcW w:w="937" w:type="dxa"/>
            <w:vMerge w:val="restart"/>
            <w:tcBorders>
              <w:top w:val="single" w:sz="4" w:space="0" w:color="000000"/>
              <w:left w:val="single" w:sz="4" w:space="0" w:color="000000"/>
              <w:bottom w:val="single" w:sz="4" w:space="0" w:color="000000"/>
            </w:tcBorders>
            <w:vAlign w:val="center"/>
          </w:tcPr>
          <w:p w:rsidR="00B40E0E" w:rsidRPr="00786FBD" w:rsidRDefault="00B40E0E" w:rsidP="00B40E0E">
            <w:pPr>
              <w:snapToGrid w:val="0"/>
              <w:spacing w:line="276" w:lineRule="auto"/>
              <w:ind w:firstLine="0"/>
              <w:jc w:val="center"/>
              <w:rPr>
                <w:sz w:val="28"/>
                <w:szCs w:val="28"/>
              </w:rPr>
            </w:pPr>
            <w:r w:rsidRPr="00786FBD">
              <w:rPr>
                <w:sz w:val="28"/>
                <w:szCs w:val="28"/>
              </w:rPr>
              <w:t>Ед. изм.</w:t>
            </w:r>
          </w:p>
        </w:tc>
        <w:tc>
          <w:tcPr>
            <w:tcW w:w="3315" w:type="dxa"/>
            <w:gridSpan w:val="2"/>
            <w:tcBorders>
              <w:top w:val="single" w:sz="4" w:space="0" w:color="000000"/>
              <w:left w:val="single" w:sz="4" w:space="0" w:color="000000"/>
              <w:bottom w:val="single" w:sz="4" w:space="0" w:color="000000"/>
            </w:tcBorders>
            <w:vAlign w:val="center"/>
          </w:tcPr>
          <w:p w:rsidR="00B40E0E" w:rsidRPr="00786FBD" w:rsidRDefault="00B40E0E" w:rsidP="00B40E0E">
            <w:pPr>
              <w:ind w:firstLine="0"/>
              <w:jc w:val="center"/>
              <w:rPr>
                <w:sz w:val="28"/>
                <w:szCs w:val="28"/>
              </w:rPr>
            </w:pPr>
            <w:r w:rsidRPr="00786FBD">
              <w:rPr>
                <w:sz w:val="28"/>
                <w:szCs w:val="28"/>
              </w:rPr>
              <w:t>Прогноз на 2022 год</w:t>
            </w:r>
          </w:p>
        </w:tc>
        <w:tc>
          <w:tcPr>
            <w:tcW w:w="1276" w:type="dxa"/>
            <w:vMerge w:val="restart"/>
            <w:tcBorders>
              <w:top w:val="single" w:sz="4" w:space="0" w:color="000000"/>
              <w:left w:val="single" w:sz="4" w:space="0" w:color="000000"/>
              <w:right w:val="single" w:sz="4" w:space="0" w:color="000000"/>
            </w:tcBorders>
            <w:vAlign w:val="center"/>
          </w:tcPr>
          <w:p w:rsidR="00B40E0E" w:rsidRPr="00786FBD" w:rsidRDefault="00B40E0E" w:rsidP="00B40E0E">
            <w:pPr>
              <w:ind w:firstLine="0"/>
              <w:jc w:val="center"/>
              <w:rPr>
                <w:sz w:val="28"/>
                <w:szCs w:val="28"/>
              </w:rPr>
            </w:pPr>
            <w:r w:rsidRPr="00786FBD">
              <w:rPr>
                <w:sz w:val="28"/>
                <w:szCs w:val="28"/>
              </w:rPr>
              <w:t>2022 год</w:t>
            </w:r>
          </w:p>
          <w:p w:rsidR="00B40E0E" w:rsidRPr="00786FBD" w:rsidRDefault="00B40E0E" w:rsidP="00B40E0E">
            <w:pPr>
              <w:ind w:firstLine="0"/>
              <w:jc w:val="center"/>
              <w:rPr>
                <w:sz w:val="28"/>
                <w:szCs w:val="28"/>
              </w:rPr>
            </w:pPr>
            <w:r w:rsidRPr="00786FBD">
              <w:rPr>
                <w:sz w:val="28"/>
                <w:szCs w:val="28"/>
              </w:rPr>
              <w:t>(оценка)</w:t>
            </w:r>
          </w:p>
        </w:tc>
      </w:tr>
      <w:tr w:rsidR="00B40E0E" w:rsidRPr="00CF6061" w:rsidTr="00B40E0E">
        <w:trPr>
          <w:trHeight w:hRule="exact" w:val="415"/>
          <w:tblHeader/>
        </w:trPr>
        <w:tc>
          <w:tcPr>
            <w:tcW w:w="3828" w:type="dxa"/>
            <w:vMerge/>
            <w:tcBorders>
              <w:top w:val="single" w:sz="4" w:space="0" w:color="000000"/>
              <w:left w:val="single" w:sz="4" w:space="0" w:color="000000"/>
              <w:bottom w:val="single" w:sz="4" w:space="0" w:color="000000"/>
            </w:tcBorders>
            <w:vAlign w:val="center"/>
          </w:tcPr>
          <w:p w:rsidR="00B40E0E" w:rsidRPr="00786FBD" w:rsidRDefault="00B40E0E" w:rsidP="00B40E0E">
            <w:pPr>
              <w:snapToGrid w:val="0"/>
              <w:spacing w:line="276" w:lineRule="auto"/>
              <w:ind w:firstLine="851"/>
              <w:rPr>
                <w:sz w:val="28"/>
                <w:szCs w:val="28"/>
              </w:rPr>
            </w:pPr>
          </w:p>
        </w:tc>
        <w:tc>
          <w:tcPr>
            <w:tcW w:w="937" w:type="dxa"/>
            <w:vMerge/>
            <w:tcBorders>
              <w:top w:val="single" w:sz="4" w:space="0" w:color="000000"/>
              <w:left w:val="single" w:sz="4" w:space="0" w:color="000000"/>
              <w:bottom w:val="single" w:sz="4" w:space="0" w:color="000000"/>
            </w:tcBorders>
            <w:vAlign w:val="center"/>
          </w:tcPr>
          <w:p w:rsidR="00B40E0E" w:rsidRPr="00786FBD" w:rsidRDefault="00B40E0E" w:rsidP="00B40E0E">
            <w:pPr>
              <w:snapToGrid w:val="0"/>
              <w:spacing w:line="276" w:lineRule="auto"/>
              <w:ind w:firstLine="851"/>
              <w:rPr>
                <w:sz w:val="28"/>
                <w:szCs w:val="28"/>
              </w:rPr>
            </w:pPr>
          </w:p>
        </w:tc>
        <w:tc>
          <w:tcPr>
            <w:tcW w:w="1614" w:type="dxa"/>
            <w:tcBorders>
              <w:top w:val="single" w:sz="4" w:space="0" w:color="000000"/>
              <w:left w:val="single" w:sz="4" w:space="0" w:color="000000"/>
              <w:bottom w:val="single" w:sz="4" w:space="0" w:color="000000"/>
            </w:tcBorders>
            <w:vAlign w:val="center"/>
          </w:tcPr>
          <w:p w:rsidR="00B40E0E" w:rsidRPr="00786FBD" w:rsidRDefault="00B40E0E" w:rsidP="00B40E0E">
            <w:pPr>
              <w:ind w:firstLine="0"/>
              <w:jc w:val="center"/>
              <w:rPr>
                <w:sz w:val="28"/>
                <w:szCs w:val="28"/>
              </w:rPr>
            </w:pPr>
            <w:r w:rsidRPr="00786FBD">
              <w:rPr>
                <w:sz w:val="28"/>
                <w:szCs w:val="28"/>
              </w:rPr>
              <w:t xml:space="preserve">1 вариант </w:t>
            </w:r>
          </w:p>
        </w:tc>
        <w:tc>
          <w:tcPr>
            <w:tcW w:w="1701" w:type="dxa"/>
            <w:tcBorders>
              <w:top w:val="single" w:sz="4" w:space="0" w:color="000000"/>
              <w:left w:val="single" w:sz="4" w:space="0" w:color="000000"/>
              <w:bottom w:val="single" w:sz="4" w:space="0" w:color="000000"/>
              <w:right w:val="single" w:sz="4" w:space="0" w:color="000000"/>
            </w:tcBorders>
            <w:vAlign w:val="center"/>
          </w:tcPr>
          <w:p w:rsidR="00B40E0E" w:rsidRPr="00786FBD" w:rsidRDefault="00B40E0E" w:rsidP="00B40E0E">
            <w:pPr>
              <w:ind w:firstLine="0"/>
              <w:jc w:val="center"/>
              <w:rPr>
                <w:sz w:val="28"/>
                <w:szCs w:val="28"/>
              </w:rPr>
            </w:pPr>
            <w:r w:rsidRPr="00786FBD">
              <w:rPr>
                <w:sz w:val="28"/>
                <w:szCs w:val="28"/>
              </w:rPr>
              <w:t>2 вариант</w:t>
            </w:r>
          </w:p>
          <w:p w:rsidR="00B40E0E" w:rsidRPr="00786FBD" w:rsidRDefault="00B40E0E" w:rsidP="00B40E0E">
            <w:pPr>
              <w:ind w:firstLine="0"/>
              <w:jc w:val="center"/>
              <w:rPr>
                <w:sz w:val="28"/>
                <w:szCs w:val="28"/>
              </w:rPr>
            </w:pPr>
          </w:p>
        </w:tc>
        <w:tc>
          <w:tcPr>
            <w:tcW w:w="1276" w:type="dxa"/>
            <w:vMerge/>
            <w:tcBorders>
              <w:left w:val="single" w:sz="4" w:space="0" w:color="000000"/>
              <w:bottom w:val="single" w:sz="4" w:space="0" w:color="auto"/>
              <w:right w:val="single" w:sz="4" w:space="0" w:color="000000"/>
            </w:tcBorders>
          </w:tcPr>
          <w:p w:rsidR="00B40E0E" w:rsidRPr="00786FBD" w:rsidRDefault="00B40E0E" w:rsidP="00B40E0E">
            <w:pPr>
              <w:snapToGrid w:val="0"/>
              <w:ind w:firstLine="851"/>
              <w:rPr>
                <w:sz w:val="28"/>
                <w:szCs w:val="28"/>
              </w:rPr>
            </w:pPr>
          </w:p>
        </w:tc>
      </w:tr>
      <w:tr w:rsidR="00B40E0E" w:rsidRPr="00CF6061" w:rsidTr="00B40E0E">
        <w:trPr>
          <w:trHeight w:val="640"/>
        </w:trPr>
        <w:tc>
          <w:tcPr>
            <w:tcW w:w="3828" w:type="dxa"/>
            <w:tcBorders>
              <w:left w:val="single" w:sz="4" w:space="0" w:color="000000"/>
              <w:bottom w:val="single" w:sz="4" w:space="0" w:color="auto"/>
            </w:tcBorders>
            <w:vAlign w:val="center"/>
          </w:tcPr>
          <w:p w:rsidR="00B40E0E" w:rsidRPr="00786FBD" w:rsidRDefault="00B40E0E" w:rsidP="00B40E0E">
            <w:pPr>
              <w:snapToGrid w:val="0"/>
              <w:ind w:firstLine="0"/>
              <w:rPr>
                <w:iCs/>
                <w:sz w:val="28"/>
                <w:szCs w:val="28"/>
              </w:rPr>
            </w:pPr>
            <w:r w:rsidRPr="00786FBD">
              <w:rPr>
                <w:sz w:val="28"/>
                <w:szCs w:val="28"/>
              </w:rPr>
              <w:t>Доля населения, систематически занимающихся физической культурой и спортом, в общей численности населения в возрасте 3-79 лет</w:t>
            </w:r>
          </w:p>
        </w:tc>
        <w:tc>
          <w:tcPr>
            <w:tcW w:w="937" w:type="dxa"/>
            <w:tcBorders>
              <w:left w:val="single" w:sz="4" w:space="0" w:color="000000"/>
              <w:bottom w:val="single" w:sz="4" w:space="0" w:color="auto"/>
            </w:tcBorders>
            <w:vAlign w:val="center"/>
          </w:tcPr>
          <w:p w:rsidR="00B40E0E" w:rsidRPr="00786FBD" w:rsidRDefault="00B40E0E" w:rsidP="00B40E0E">
            <w:pPr>
              <w:snapToGrid w:val="0"/>
              <w:ind w:firstLine="0"/>
              <w:jc w:val="center"/>
              <w:rPr>
                <w:sz w:val="28"/>
                <w:szCs w:val="28"/>
              </w:rPr>
            </w:pPr>
            <w:r w:rsidRPr="00786FBD">
              <w:rPr>
                <w:iCs/>
                <w:sz w:val="28"/>
                <w:szCs w:val="28"/>
              </w:rPr>
              <w:t>%</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B40E0E" w:rsidRPr="00786FBD" w:rsidRDefault="00B40E0E" w:rsidP="00B40E0E">
            <w:pPr>
              <w:ind w:firstLine="0"/>
              <w:jc w:val="center"/>
              <w:rPr>
                <w:sz w:val="28"/>
                <w:szCs w:val="28"/>
                <w:lang w:eastAsia="ru-RU"/>
              </w:rPr>
            </w:pPr>
            <w:r w:rsidRPr="00786FBD">
              <w:rPr>
                <w:sz w:val="28"/>
                <w:szCs w:val="28"/>
              </w:rPr>
              <w:t>48,0</w:t>
            </w:r>
          </w:p>
        </w:tc>
        <w:tc>
          <w:tcPr>
            <w:tcW w:w="1701" w:type="dxa"/>
            <w:tcBorders>
              <w:top w:val="single" w:sz="4" w:space="0" w:color="auto"/>
              <w:left w:val="nil"/>
              <w:bottom w:val="single" w:sz="4" w:space="0" w:color="auto"/>
              <w:right w:val="single" w:sz="4" w:space="0" w:color="auto"/>
            </w:tcBorders>
            <w:shd w:val="clear" w:color="auto" w:fill="auto"/>
            <w:vAlign w:val="center"/>
          </w:tcPr>
          <w:p w:rsidR="00B40E0E" w:rsidRPr="00786FBD" w:rsidRDefault="00B40E0E" w:rsidP="00B40E0E">
            <w:pPr>
              <w:ind w:firstLine="0"/>
              <w:jc w:val="center"/>
              <w:rPr>
                <w:sz w:val="28"/>
                <w:szCs w:val="28"/>
              </w:rPr>
            </w:pPr>
          </w:p>
          <w:p w:rsidR="00B40E0E" w:rsidRPr="00786FBD" w:rsidRDefault="00B40E0E" w:rsidP="00B40E0E">
            <w:pPr>
              <w:ind w:firstLine="0"/>
              <w:jc w:val="center"/>
              <w:rPr>
                <w:sz w:val="28"/>
                <w:szCs w:val="28"/>
              </w:rPr>
            </w:pPr>
            <w:r w:rsidRPr="00786FBD">
              <w:rPr>
                <w:sz w:val="28"/>
                <w:szCs w:val="28"/>
              </w:rPr>
              <w:t>50,0</w:t>
            </w:r>
          </w:p>
          <w:p w:rsidR="00B40E0E" w:rsidRPr="00786FBD" w:rsidRDefault="00B40E0E" w:rsidP="00B40E0E">
            <w:pPr>
              <w:ind w:firstLine="0"/>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0E0E" w:rsidRPr="00786FBD" w:rsidRDefault="00B40E0E" w:rsidP="00B40E0E">
            <w:pPr>
              <w:ind w:firstLine="0"/>
              <w:jc w:val="center"/>
              <w:rPr>
                <w:sz w:val="28"/>
                <w:szCs w:val="28"/>
              </w:rPr>
            </w:pPr>
            <w:r w:rsidRPr="00786FBD">
              <w:rPr>
                <w:sz w:val="28"/>
                <w:szCs w:val="28"/>
              </w:rPr>
              <w:t>50,0</w:t>
            </w:r>
          </w:p>
        </w:tc>
      </w:tr>
      <w:tr w:rsidR="00B40E0E" w:rsidRPr="00CF6061" w:rsidTr="00B40E0E">
        <w:trPr>
          <w:trHeight w:val="708"/>
        </w:trPr>
        <w:tc>
          <w:tcPr>
            <w:tcW w:w="3828" w:type="dxa"/>
            <w:tcBorders>
              <w:top w:val="single" w:sz="4" w:space="0" w:color="auto"/>
              <w:left w:val="single" w:sz="4" w:space="0" w:color="000000"/>
              <w:bottom w:val="single" w:sz="4" w:space="0" w:color="000000"/>
            </w:tcBorders>
            <w:vAlign w:val="center"/>
          </w:tcPr>
          <w:p w:rsidR="00B40E0E" w:rsidRPr="00786FBD" w:rsidRDefault="00B40E0E" w:rsidP="00B40E0E">
            <w:pPr>
              <w:snapToGrid w:val="0"/>
              <w:ind w:firstLine="0"/>
              <w:rPr>
                <w:sz w:val="28"/>
                <w:szCs w:val="28"/>
              </w:rPr>
            </w:pPr>
            <w:r w:rsidRPr="00786FBD">
              <w:rPr>
                <w:sz w:val="28"/>
                <w:szCs w:val="28"/>
              </w:rPr>
              <w:t>Уровень фактической обеспеченности населения объектами спорта от нормативной потребности</w:t>
            </w:r>
          </w:p>
        </w:tc>
        <w:tc>
          <w:tcPr>
            <w:tcW w:w="937" w:type="dxa"/>
            <w:tcBorders>
              <w:top w:val="single" w:sz="4" w:space="0" w:color="auto"/>
              <w:left w:val="single" w:sz="4" w:space="0" w:color="000000"/>
              <w:bottom w:val="single" w:sz="4" w:space="0" w:color="000000"/>
            </w:tcBorders>
            <w:vAlign w:val="center"/>
          </w:tcPr>
          <w:p w:rsidR="00B40E0E" w:rsidRPr="00832738" w:rsidRDefault="00B40E0E" w:rsidP="00B40E0E">
            <w:pPr>
              <w:snapToGrid w:val="0"/>
              <w:ind w:firstLine="0"/>
              <w:jc w:val="center"/>
              <w:rPr>
                <w:iCs/>
                <w:sz w:val="28"/>
                <w:szCs w:val="28"/>
              </w:rPr>
            </w:pPr>
            <w:r w:rsidRPr="00832738">
              <w:rPr>
                <w:iCs/>
                <w:sz w:val="28"/>
                <w:szCs w:val="28"/>
              </w:rPr>
              <w:t>%</w:t>
            </w:r>
          </w:p>
        </w:tc>
        <w:tc>
          <w:tcPr>
            <w:tcW w:w="1614" w:type="dxa"/>
            <w:tcBorders>
              <w:top w:val="nil"/>
              <w:left w:val="single" w:sz="4" w:space="0" w:color="auto"/>
              <w:bottom w:val="single" w:sz="4" w:space="0" w:color="auto"/>
              <w:right w:val="single" w:sz="4" w:space="0" w:color="auto"/>
            </w:tcBorders>
            <w:shd w:val="clear" w:color="000000" w:fill="FFFFFF"/>
            <w:vAlign w:val="center"/>
          </w:tcPr>
          <w:p w:rsidR="00B40E0E" w:rsidRPr="00832738" w:rsidRDefault="00B40E0E" w:rsidP="00B40E0E">
            <w:pPr>
              <w:ind w:firstLine="0"/>
              <w:jc w:val="center"/>
              <w:rPr>
                <w:sz w:val="28"/>
                <w:szCs w:val="28"/>
              </w:rPr>
            </w:pPr>
            <w:r w:rsidRPr="00832738">
              <w:rPr>
                <w:sz w:val="28"/>
                <w:szCs w:val="28"/>
              </w:rPr>
              <w:t>31,4</w:t>
            </w:r>
          </w:p>
        </w:tc>
        <w:tc>
          <w:tcPr>
            <w:tcW w:w="1701" w:type="dxa"/>
            <w:tcBorders>
              <w:top w:val="nil"/>
              <w:left w:val="nil"/>
              <w:bottom w:val="single" w:sz="4" w:space="0" w:color="auto"/>
              <w:right w:val="single" w:sz="4" w:space="0" w:color="auto"/>
            </w:tcBorders>
            <w:shd w:val="clear" w:color="000000" w:fill="FFFFFF"/>
            <w:vAlign w:val="center"/>
          </w:tcPr>
          <w:p w:rsidR="00B40E0E" w:rsidRPr="00832738" w:rsidRDefault="00B40E0E" w:rsidP="00B40E0E">
            <w:pPr>
              <w:ind w:firstLine="0"/>
              <w:jc w:val="center"/>
              <w:rPr>
                <w:sz w:val="28"/>
                <w:szCs w:val="28"/>
              </w:rPr>
            </w:pPr>
            <w:r w:rsidRPr="00832738">
              <w:rPr>
                <w:sz w:val="28"/>
                <w:szCs w:val="28"/>
              </w:rPr>
              <w:t>31,5</w:t>
            </w:r>
          </w:p>
        </w:tc>
        <w:tc>
          <w:tcPr>
            <w:tcW w:w="1276" w:type="dxa"/>
            <w:tcBorders>
              <w:top w:val="nil"/>
              <w:left w:val="nil"/>
              <w:bottom w:val="single" w:sz="4" w:space="0" w:color="auto"/>
              <w:right w:val="single" w:sz="4" w:space="0" w:color="auto"/>
            </w:tcBorders>
            <w:shd w:val="clear" w:color="000000" w:fill="FFFFFF"/>
            <w:vAlign w:val="center"/>
          </w:tcPr>
          <w:p w:rsidR="00B40E0E" w:rsidRPr="00832738" w:rsidRDefault="00B40E0E" w:rsidP="00B40E0E">
            <w:pPr>
              <w:ind w:firstLine="0"/>
              <w:jc w:val="center"/>
              <w:rPr>
                <w:sz w:val="28"/>
                <w:szCs w:val="28"/>
              </w:rPr>
            </w:pPr>
            <w:r w:rsidRPr="00832738">
              <w:rPr>
                <w:sz w:val="28"/>
                <w:szCs w:val="28"/>
              </w:rPr>
              <w:t>32,6</w:t>
            </w:r>
          </w:p>
        </w:tc>
      </w:tr>
    </w:tbl>
    <w:p w:rsidR="00B40E0E" w:rsidRPr="00986B8B" w:rsidRDefault="00B40E0E" w:rsidP="00B40E0E">
      <w:pPr>
        <w:spacing w:before="120" w:line="276" w:lineRule="auto"/>
        <w:ind w:firstLine="851"/>
        <w:rPr>
          <w:sz w:val="28"/>
          <w:szCs w:val="28"/>
        </w:rPr>
      </w:pPr>
      <w:r w:rsidRPr="00832738">
        <w:rPr>
          <w:sz w:val="28"/>
          <w:szCs w:val="28"/>
        </w:rPr>
        <w:t xml:space="preserve">Показатель «Уровень фактической обеспеченности населения объектами спорта от нормативной потребности» в 2022 году скорректирован в сторону увеличения до 32,6%, в связи </w:t>
      </w:r>
      <w:r>
        <w:rPr>
          <w:sz w:val="28"/>
          <w:szCs w:val="28"/>
        </w:rPr>
        <w:t>с учетом раннее построенных и устройством новых спортивных площадок, в том числе в рамках Губернаторского проекта «СОдействие».</w:t>
      </w:r>
    </w:p>
    <w:p w:rsidR="00B40E0E" w:rsidRDefault="00B40E0E" w:rsidP="00B40E0E"/>
    <w:p w:rsidR="00A50BA4" w:rsidRDefault="00A50BA4" w:rsidP="00A27CD8">
      <w:pPr>
        <w:pStyle w:val="3"/>
        <w:spacing w:line="360" w:lineRule="auto"/>
        <w:ind w:left="0" w:firstLine="0"/>
        <w:rPr>
          <w:sz w:val="28"/>
          <w:szCs w:val="28"/>
          <w:highlight w:val="yellow"/>
          <w:lang w:eastAsia="ar-SA"/>
        </w:rPr>
      </w:pPr>
      <w:r w:rsidRPr="00A27CD8">
        <w:rPr>
          <w:sz w:val="28"/>
          <w:szCs w:val="28"/>
          <w:lang w:eastAsia="ar-SA"/>
        </w:rPr>
        <w:t>Потребительский рынок товаров</w:t>
      </w:r>
      <w:bookmarkStart w:id="15" w:name="потреб"/>
      <w:bookmarkEnd w:id="15"/>
    </w:p>
    <w:p w:rsidR="00A27CD8" w:rsidRPr="00AF069E" w:rsidRDefault="00A27CD8" w:rsidP="00A27CD8">
      <w:pPr>
        <w:widowControl w:val="0"/>
        <w:suppressAutoHyphens w:val="0"/>
        <w:autoSpaceDE w:val="0"/>
        <w:autoSpaceDN w:val="0"/>
        <w:adjustRightInd w:val="0"/>
        <w:spacing w:line="276" w:lineRule="auto"/>
        <w:rPr>
          <w:rFonts w:eastAsiaTheme="minorEastAsia"/>
          <w:sz w:val="28"/>
          <w:szCs w:val="28"/>
          <w:lang w:eastAsia="ru-RU"/>
        </w:rPr>
      </w:pPr>
      <w:r w:rsidRPr="00AF069E">
        <w:rPr>
          <w:rFonts w:eastAsiaTheme="minorEastAsia"/>
          <w:sz w:val="28"/>
          <w:szCs w:val="28"/>
          <w:lang w:eastAsia="ru-RU"/>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rsidR="00A27CD8" w:rsidRPr="00AF069E" w:rsidRDefault="00A27CD8" w:rsidP="00A27CD8">
      <w:pPr>
        <w:pStyle w:val="aff0"/>
        <w:spacing w:line="276" w:lineRule="auto"/>
        <w:rPr>
          <w:rFonts w:eastAsiaTheme="minorEastAsia"/>
          <w:szCs w:val="28"/>
          <w:lang w:eastAsia="ru-RU"/>
        </w:rPr>
      </w:pPr>
      <w:r w:rsidRPr="00AF069E">
        <w:rPr>
          <w:rFonts w:eastAsiaTheme="minorEastAsia"/>
          <w:szCs w:val="28"/>
          <w:lang w:eastAsia="ru-RU"/>
        </w:rPr>
        <w:t>По состоянию на 01.07.202</w:t>
      </w:r>
      <w:r w:rsidR="009B6A02">
        <w:rPr>
          <w:rFonts w:eastAsiaTheme="minorEastAsia"/>
          <w:szCs w:val="28"/>
          <w:lang w:eastAsia="ru-RU"/>
        </w:rPr>
        <w:t>2</w:t>
      </w:r>
      <w:r w:rsidRPr="00AF069E">
        <w:rPr>
          <w:rFonts w:eastAsiaTheme="minorEastAsia"/>
          <w:szCs w:val="28"/>
          <w:lang w:eastAsia="ru-RU"/>
        </w:rPr>
        <w:t xml:space="preserve"> в городском округе Тольятти действуют около 12 тыс. предприятий торговли, более 0,8 тыс. предприятий общественного питания и около 2,0 тыс. предприятий бытового обслуживания населения. </w:t>
      </w:r>
    </w:p>
    <w:p w:rsidR="00A27CD8" w:rsidRPr="00AF069E" w:rsidRDefault="00A27CD8" w:rsidP="00BD202A">
      <w:pPr>
        <w:widowControl w:val="0"/>
        <w:suppressAutoHyphens w:val="0"/>
        <w:autoSpaceDE w:val="0"/>
        <w:autoSpaceDN w:val="0"/>
        <w:adjustRightInd w:val="0"/>
        <w:spacing w:line="276" w:lineRule="auto"/>
        <w:rPr>
          <w:rFonts w:eastAsiaTheme="minorEastAsia"/>
          <w:sz w:val="28"/>
          <w:szCs w:val="28"/>
          <w:lang w:eastAsia="ru-RU"/>
        </w:rPr>
      </w:pPr>
      <w:r w:rsidRPr="00AF069E">
        <w:rPr>
          <w:rFonts w:eastAsiaTheme="minorEastAsia"/>
          <w:sz w:val="28"/>
          <w:szCs w:val="28"/>
          <w:lang w:eastAsia="ru-RU"/>
        </w:rPr>
        <w:t xml:space="preserve">В настоящее время количество </w:t>
      </w:r>
      <w:r w:rsidR="00BD202A" w:rsidRPr="00AF069E">
        <w:rPr>
          <w:rFonts w:eastAsiaTheme="minorEastAsia"/>
          <w:sz w:val="28"/>
          <w:szCs w:val="28"/>
          <w:lang w:eastAsia="ru-RU"/>
        </w:rPr>
        <w:t xml:space="preserve">крупных торговых центров </w:t>
      </w:r>
      <w:r w:rsidRPr="00AF069E">
        <w:rPr>
          <w:rFonts w:eastAsiaTheme="minorEastAsia"/>
          <w:sz w:val="28"/>
          <w:szCs w:val="28"/>
          <w:lang w:eastAsia="ru-RU"/>
        </w:rPr>
        <w:t>в городском округе Тольятти составляет более 120 единиц: ТРК «Русь на Волге», TРК «Парк Хаус», ТЦ «Мадагаскар», ТЦ «Апельсин», ТРК «Капитал», ООО «Мегастрой» и др</w:t>
      </w:r>
      <w:r w:rsidR="00BD202A">
        <w:rPr>
          <w:rFonts w:eastAsiaTheme="minorEastAsia"/>
          <w:sz w:val="28"/>
          <w:szCs w:val="28"/>
          <w:lang w:eastAsia="ru-RU"/>
        </w:rPr>
        <w:t>угие</w:t>
      </w:r>
      <w:r w:rsidRPr="00AF069E">
        <w:rPr>
          <w:rFonts w:eastAsiaTheme="minorEastAsia"/>
          <w:sz w:val="28"/>
          <w:szCs w:val="28"/>
          <w:lang w:eastAsia="ru-RU"/>
        </w:rPr>
        <w:t>.</w:t>
      </w:r>
    </w:p>
    <w:p w:rsidR="00A27CD8" w:rsidRPr="00AF069E" w:rsidRDefault="00A27CD8" w:rsidP="00BD202A">
      <w:pPr>
        <w:widowControl w:val="0"/>
        <w:suppressAutoHyphens w:val="0"/>
        <w:autoSpaceDE w:val="0"/>
        <w:autoSpaceDN w:val="0"/>
        <w:adjustRightInd w:val="0"/>
        <w:spacing w:line="276" w:lineRule="auto"/>
        <w:rPr>
          <w:rFonts w:eastAsiaTheme="minorEastAsia"/>
          <w:sz w:val="28"/>
          <w:szCs w:val="28"/>
          <w:lang w:eastAsia="ru-RU"/>
        </w:rPr>
      </w:pPr>
      <w:r w:rsidRPr="00AF069E">
        <w:rPr>
          <w:rFonts w:eastAsiaTheme="minorEastAsia"/>
          <w:sz w:val="28"/>
          <w:szCs w:val="28"/>
          <w:lang w:eastAsia="ru-RU"/>
        </w:rPr>
        <w:t>На территории городского округа Тольятти осуществляют деятельность 4 рынка с разрешениями на право организации розничной торговли.</w:t>
      </w:r>
    </w:p>
    <w:p w:rsidR="00A27CD8" w:rsidRPr="00AF069E" w:rsidRDefault="00A27CD8" w:rsidP="00BD202A">
      <w:pPr>
        <w:widowControl w:val="0"/>
        <w:suppressAutoHyphens w:val="0"/>
        <w:autoSpaceDE w:val="0"/>
        <w:autoSpaceDN w:val="0"/>
        <w:adjustRightInd w:val="0"/>
        <w:spacing w:line="276" w:lineRule="auto"/>
        <w:rPr>
          <w:rFonts w:eastAsiaTheme="minorEastAsia"/>
          <w:sz w:val="28"/>
          <w:szCs w:val="28"/>
          <w:lang w:eastAsia="ru-RU"/>
        </w:rPr>
      </w:pPr>
      <w:r w:rsidRPr="00AF069E">
        <w:rPr>
          <w:rFonts w:eastAsiaTheme="minorEastAsia"/>
          <w:sz w:val="28"/>
          <w:szCs w:val="28"/>
          <w:lang w:eastAsia="ru-RU"/>
        </w:rPr>
        <w:t>За январь-июнь 2022 года проведены 22 ярмарки, включенная в реестр Самарской области.</w:t>
      </w:r>
    </w:p>
    <w:p w:rsidR="00A27CD8" w:rsidRPr="00AF069E" w:rsidRDefault="00A27CD8" w:rsidP="00BD202A">
      <w:pPr>
        <w:suppressAutoHyphens w:val="0"/>
        <w:autoSpaceDE w:val="0"/>
        <w:autoSpaceDN w:val="0"/>
        <w:adjustRightInd w:val="0"/>
        <w:spacing w:line="276" w:lineRule="auto"/>
        <w:rPr>
          <w:rFonts w:eastAsiaTheme="minorEastAsia"/>
          <w:sz w:val="28"/>
          <w:szCs w:val="28"/>
          <w:lang w:eastAsia="ru-RU"/>
        </w:rPr>
      </w:pPr>
      <w:r w:rsidRPr="00AF069E">
        <w:rPr>
          <w:rFonts w:eastAsiaTheme="minorEastAsia"/>
          <w:sz w:val="28"/>
          <w:szCs w:val="28"/>
          <w:lang w:eastAsia="ru-RU"/>
        </w:rPr>
        <w:t>Вновь открывающиеся магазины работают по методу самообслуживания, для комфорта покупателей внедряются новые технологии обслуживания - 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A27CD8" w:rsidRPr="00AF069E" w:rsidRDefault="00A27CD8" w:rsidP="00BD202A">
      <w:pPr>
        <w:widowControl w:val="0"/>
        <w:suppressAutoHyphens w:val="0"/>
        <w:autoSpaceDE w:val="0"/>
        <w:autoSpaceDN w:val="0"/>
        <w:adjustRightInd w:val="0"/>
        <w:spacing w:line="276" w:lineRule="auto"/>
        <w:rPr>
          <w:rFonts w:eastAsiaTheme="minorEastAsia"/>
          <w:sz w:val="28"/>
          <w:szCs w:val="28"/>
          <w:lang w:eastAsia="ru-RU"/>
        </w:rPr>
      </w:pPr>
      <w:r w:rsidRPr="00AF069E">
        <w:rPr>
          <w:rFonts w:eastAsiaTheme="minorEastAsia"/>
          <w:sz w:val="28"/>
          <w:szCs w:val="28"/>
          <w:lang w:eastAsia="ru-RU"/>
        </w:rPr>
        <w:t>Кроме того, на универсальных рынках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15,0% от общего количества торговых мест, предназначенных для продажи продовольственных товаров в летнее время и 10,0% в зимнее время.</w:t>
      </w:r>
    </w:p>
    <w:p w:rsidR="00A27CD8" w:rsidRPr="00AF069E" w:rsidRDefault="00A27CD8" w:rsidP="00BD202A">
      <w:pPr>
        <w:spacing w:line="276" w:lineRule="auto"/>
        <w:rPr>
          <w:rFonts w:eastAsiaTheme="minorEastAsia"/>
          <w:sz w:val="28"/>
          <w:szCs w:val="28"/>
          <w:lang w:eastAsia="ru-RU"/>
        </w:rPr>
      </w:pPr>
      <w:r w:rsidRPr="00AF069E">
        <w:rPr>
          <w:sz w:val="28"/>
          <w:szCs w:val="28"/>
          <w:lang w:eastAsia="ru-RU"/>
        </w:rPr>
        <w:t>Оборот розничной торговли (по полному кругу предприятий и организаций) в январе-июне 2022 года составил 99 624,0 млн. руб</w:t>
      </w:r>
      <w:r w:rsidR="00EF2D65">
        <w:rPr>
          <w:sz w:val="28"/>
          <w:szCs w:val="28"/>
          <w:lang w:eastAsia="ru-RU"/>
        </w:rPr>
        <w:t>.</w:t>
      </w:r>
      <w:r w:rsidRPr="00AF069E">
        <w:rPr>
          <w:sz w:val="28"/>
          <w:szCs w:val="28"/>
          <w:lang w:eastAsia="ru-RU"/>
        </w:rPr>
        <w:t>, что на 8,3% больше соответствующего периода 2021 года</w:t>
      </w:r>
      <w:r w:rsidR="00BD202A">
        <w:rPr>
          <w:sz w:val="28"/>
          <w:szCs w:val="28"/>
          <w:lang w:eastAsia="ru-RU"/>
        </w:rPr>
        <w:t xml:space="preserve"> в действующих ценах и на 8,2% ниже в сопоставимых ценах</w:t>
      </w:r>
      <w:r w:rsidRPr="00AF069E">
        <w:rPr>
          <w:sz w:val="28"/>
          <w:szCs w:val="28"/>
          <w:lang w:eastAsia="ru-RU"/>
        </w:rPr>
        <w:t>, в том числе по крупным и средним организациям – 49 963,5 млн. руб</w:t>
      </w:r>
      <w:r w:rsidR="00EF2D65">
        <w:rPr>
          <w:sz w:val="28"/>
          <w:szCs w:val="28"/>
          <w:lang w:eastAsia="ru-RU"/>
        </w:rPr>
        <w:t>.</w:t>
      </w:r>
      <w:r w:rsidRPr="00AF069E">
        <w:rPr>
          <w:sz w:val="28"/>
          <w:szCs w:val="28"/>
          <w:lang w:eastAsia="ru-RU"/>
        </w:rPr>
        <w:t xml:space="preserve">, на уровне </w:t>
      </w:r>
      <w:r w:rsidRPr="00AF069E">
        <w:rPr>
          <w:sz w:val="28"/>
          <w:szCs w:val="28"/>
          <w:lang w:val="en-US" w:eastAsia="ru-RU"/>
        </w:rPr>
        <w:t>I</w:t>
      </w:r>
      <w:r w:rsidRPr="00AF069E">
        <w:rPr>
          <w:sz w:val="28"/>
          <w:szCs w:val="28"/>
          <w:lang w:eastAsia="ru-RU"/>
        </w:rPr>
        <w:t xml:space="preserve"> полугодия 2021 года.</w:t>
      </w:r>
      <w:r w:rsidRPr="00AF069E">
        <w:rPr>
          <w:rFonts w:eastAsiaTheme="minorEastAsia"/>
          <w:sz w:val="28"/>
          <w:szCs w:val="28"/>
          <w:lang w:eastAsia="ru-RU"/>
        </w:rPr>
        <w:t xml:space="preserve"> 50,2% оборота розничной торговли сформированы организациями малого бизнеса и индивидуальными предпринимателями.</w:t>
      </w:r>
    </w:p>
    <w:p w:rsidR="00A27CD8" w:rsidRPr="00583CB3" w:rsidRDefault="00A27CD8" w:rsidP="00BD202A">
      <w:pPr>
        <w:spacing w:line="276" w:lineRule="auto"/>
        <w:rPr>
          <w:sz w:val="28"/>
          <w:szCs w:val="28"/>
          <w:lang w:eastAsia="ru-RU"/>
        </w:rPr>
      </w:pPr>
      <w:r w:rsidRPr="00A27CD8">
        <w:rPr>
          <w:sz w:val="28"/>
          <w:szCs w:val="28"/>
          <w:lang w:eastAsia="ru-RU"/>
        </w:rPr>
        <w:t xml:space="preserve">Доля городского округа Тольятти в обороте по Самарской области составила в 2022 году 25,6%. Среди городских округов Самарской области городской округ Тольятти традиционно занимает </w:t>
      </w:r>
      <w:r w:rsidR="00BD202A">
        <w:rPr>
          <w:sz w:val="28"/>
          <w:szCs w:val="28"/>
          <w:lang w:eastAsia="ru-RU"/>
        </w:rPr>
        <w:t>второе</w:t>
      </w:r>
      <w:r w:rsidRPr="00A27CD8">
        <w:rPr>
          <w:sz w:val="28"/>
          <w:szCs w:val="28"/>
          <w:lang w:eastAsia="ru-RU"/>
        </w:rPr>
        <w:t xml:space="preserve"> место по обороту розничной торговли в расчете на душу населения после г.о. </w:t>
      </w:r>
      <w:r w:rsidRPr="00583CB3">
        <w:rPr>
          <w:sz w:val="28"/>
          <w:szCs w:val="28"/>
          <w:lang w:eastAsia="ru-RU"/>
        </w:rPr>
        <w:t>Самара: в 2021 году по городскому округу Тольятти – 279,6 тыс. руб</w:t>
      </w:r>
      <w:r w:rsidR="00EF2D65">
        <w:rPr>
          <w:sz w:val="28"/>
          <w:szCs w:val="28"/>
          <w:lang w:eastAsia="ru-RU"/>
        </w:rPr>
        <w:t>.</w:t>
      </w:r>
      <w:r w:rsidRPr="00583CB3">
        <w:rPr>
          <w:sz w:val="28"/>
          <w:szCs w:val="28"/>
          <w:lang w:eastAsia="ru-RU"/>
        </w:rPr>
        <w:t xml:space="preserve"> на 1 человека (по г.о. Самара – 287,3 тыс. руб</w:t>
      </w:r>
      <w:r w:rsidR="00EF2D65">
        <w:rPr>
          <w:sz w:val="28"/>
          <w:szCs w:val="28"/>
          <w:lang w:eastAsia="ru-RU"/>
        </w:rPr>
        <w:t>.</w:t>
      </w:r>
      <w:r w:rsidRPr="00583CB3">
        <w:rPr>
          <w:sz w:val="28"/>
          <w:szCs w:val="28"/>
          <w:lang w:eastAsia="ru-RU"/>
        </w:rPr>
        <w:t xml:space="preserve"> на 1 человека; по Самарской области в среднем – 236,1 тыс. руб</w:t>
      </w:r>
      <w:r w:rsidR="00EF2D65">
        <w:rPr>
          <w:sz w:val="28"/>
          <w:szCs w:val="28"/>
          <w:lang w:eastAsia="ru-RU"/>
        </w:rPr>
        <w:t>.</w:t>
      </w:r>
      <w:r w:rsidRPr="00583CB3">
        <w:rPr>
          <w:sz w:val="28"/>
          <w:szCs w:val="28"/>
          <w:lang w:eastAsia="ru-RU"/>
        </w:rPr>
        <w:t xml:space="preserve"> на 1 человека). </w:t>
      </w:r>
    </w:p>
    <w:p w:rsidR="00A27CD8" w:rsidRDefault="00A27CD8" w:rsidP="00BD202A">
      <w:pPr>
        <w:widowControl w:val="0"/>
        <w:suppressAutoHyphens w:val="0"/>
        <w:autoSpaceDE w:val="0"/>
        <w:autoSpaceDN w:val="0"/>
        <w:adjustRightInd w:val="0"/>
        <w:spacing w:line="276" w:lineRule="auto"/>
        <w:rPr>
          <w:rFonts w:eastAsiaTheme="minorEastAsia"/>
          <w:sz w:val="28"/>
          <w:szCs w:val="28"/>
          <w:lang w:eastAsia="ru-RU"/>
        </w:rPr>
      </w:pPr>
      <w:r w:rsidRPr="00583CB3">
        <w:rPr>
          <w:rFonts w:eastAsiaTheme="minorEastAsia"/>
          <w:sz w:val="28"/>
          <w:szCs w:val="28"/>
          <w:lang w:eastAsia="ru-RU"/>
        </w:rPr>
        <w:t>Оборот розничной торговли на душу населения по городскому округу Тольятти в январе-июне 2022 года сложился выше среднеобластного значения и составил 145,3 тыс. руб</w:t>
      </w:r>
      <w:r w:rsidR="00EF2D65">
        <w:rPr>
          <w:rFonts w:eastAsiaTheme="minorEastAsia"/>
          <w:sz w:val="28"/>
          <w:szCs w:val="28"/>
          <w:lang w:eastAsia="ru-RU"/>
        </w:rPr>
        <w:t>.</w:t>
      </w:r>
      <w:r w:rsidRPr="00583CB3">
        <w:rPr>
          <w:rFonts w:eastAsiaTheme="minorEastAsia"/>
          <w:sz w:val="28"/>
          <w:szCs w:val="28"/>
          <w:lang w:eastAsia="ru-RU"/>
        </w:rPr>
        <w:t xml:space="preserve"> (в целом по Сам</w:t>
      </w:r>
      <w:r w:rsidRPr="00A27CD8">
        <w:rPr>
          <w:rFonts w:eastAsiaTheme="minorEastAsia"/>
          <w:sz w:val="28"/>
          <w:szCs w:val="28"/>
          <w:lang w:eastAsia="ru-RU"/>
        </w:rPr>
        <w:t>арской области – 127,1 тыс. руб</w:t>
      </w:r>
      <w:r w:rsidR="00EF2D65">
        <w:rPr>
          <w:rFonts w:eastAsiaTheme="minorEastAsia"/>
          <w:sz w:val="28"/>
          <w:szCs w:val="28"/>
          <w:lang w:eastAsia="ru-RU"/>
        </w:rPr>
        <w:t>.</w:t>
      </w:r>
      <w:r w:rsidRPr="00A27CD8">
        <w:rPr>
          <w:rFonts w:eastAsiaTheme="minorEastAsia"/>
          <w:sz w:val="28"/>
          <w:szCs w:val="28"/>
          <w:lang w:eastAsia="ru-RU"/>
        </w:rPr>
        <w:t xml:space="preserve">). </w:t>
      </w:r>
    </w:p>
    <w:p w:rsidR="00BD202A" w:rsidRPr="00A27CD8" w:rsidRDefault="00BD202A" w:rsidP="00A27CD8">
      <w:pPr>
        <w:widowControl w:val="0"/>
        <w:suppressAutoHyphens w:val="0"/>
        <w:autoSpaceDE w:val="0"/>
        <w:autoSpaceDN w:val="0"/>
        <w:adjustRightInd w:val="0"/>
        <w:spacing w:line="276" w:lineRule="auto"/>
        <w:rPr>
          <w:rFonts w:eastAsiaTheme="minorEastAsia"/>
          <w:sz w:val="28"/>
          <w:szCs w:val="28"/>
          <w:lang w:eastAsia="ru-RU"/>
        </w:rPr>
      </w:pPr>
    </w:p>
    <w:p w:rsidR="00A27CD8" w:rsidRPr="00A27CD8" w:rsidRDefault="00A27CD8" w:rsidP="00A27CD8">
      <w:pPr>
        <w:widowControl w:val="0"/>
        <w:spacing w:before="120" w:line="300" w:lineRule="auto"/>
        <w:ind w:firstLine="0"/>
        <w:jc w:val="center"/>
        <w:rPr>
          <w:rFonts w:eastAsia="Calibri"/>
          <w:sz w:val="28"/>
          <w:szCs w:val="28"/>
        </w:rPr>
      </w:pPr>
      <w:r w:rsidRPr="00A27CD8">
        <w:rPr>
          <w:rFonts w:eastAsia="Calibri"/>
          <w:sz w:val="28"/>
          <w:szCs w:val="28"/>
        </w:rPr>
        <w:t xml:space="preserve">Ожидаемое выполнение прогнозных показателей по разделу </w:t>
      </w:r>
    </w:p>
    <w:p w:rsidR="00A27CD8" w:rsidRPr="00A27CD8" w:rsidRDefault="00A27CD8" w:rsidP="00A27CD8">
      <w:pPr>
        <w:widowControl w:val="0"/>
        <w:spacing w:line="300" w:lineRule="auto"/>
        <w:ind w:firstLine="0"/>
        <w:jc w:val="center"/>
        <w:rPr>
          <w:rFonts w:eastAsia="Calibri"/>
          <w:sz w:val="28"/>
          <w:szCs w:val="28"/>
        </w:rPr>
      </w:pPr>
      <w:r w:rsidRPr="00A27CD8">
        <w:rPr>
          <w:rFonts w:eastAsia="Calibri"/>
          <w:sz w:val="28"/>
          <w:szCs w:val="28"/>
        </w:rPr>
        <w:t>«Потребительский рынок» на 2022 год</w:t>
      </w:r>
    </w:p>
    <w:tbl>
      <w:tblPr>
        <w:tblW w:w="9335" w:type="dxa"/>
        <w:tblInd w:w="108" w:type="dxa"/>
        <w:tblLayout w:type="fixed"/>
        <w:tblLook w:val="00A0" w:firstRow="1" w:lastRow="0" w:firstColumn="1" w:lastColumn="0" w:noHBand="0" w:noVBand="0"/>
      </w:tblPr>
      <w:tblGrid>
        <w:gridCol w:w="3455"/>
        <w:gridCol w:w="1432"/>
        <w:gridCol w:w="1422"/>
        <w:gridCol w:w="1617"/>
        <w:gridCol w:w="1409"/>
      </w:tblGrid>
      <w:tr w:rsidR="00A27CD8" w:rsidRPr="00A27CD8" w:rsidTr="00BC36B0">
        <w:trPr>
          <w:cantSplit/>
          <w:trHeight w:val="259"/>
        </w:trPr>
        <w:tc>
          <w:tcPr>
            <w:tcW w:w="3455" w:type="dxa"/>
            <w:vMerge w:val="restart"/>
            <w:tcBorders>
              <w:top w:val="single" w:sz="4" w:space="0" w:color="000000"/>
              <w:left w:val="single" w:sz="4" w:space="0" w:color="000000"/>
              <w:bottom w:val="single" w:sz="4" w:space="0" w:color="000000"/>
              <w:right w:val="nil"/>
            </w:tcBorders>
            <w:vAlign w:val="center"/>
          </w:tcPr>
          <w:p w:rsidR="00A27CD8" w:rsidRPr="00A27CD8" w:rsidRDefault="00A27CD8" w:rsidP="00BC36B0">
            <w:pPr>
              <w:pStyle w:val="230"/>
              <w:keepNext/>
              <w:keepLines/>
              <w:spacing w:after="0" w:line="276" w:lineRule="auto"/>
              <w:ind w:left="0" w:firstLine="0"/>
              <w:jc w:val="center"/>
              <w:rPr>
                <w:sz w:val="28"/>
                <w:szCs w:val="28"/>
              </w:rPr>
            </w:pPr>
            <w:r w:rsidRPr="00A27CD8">
              <w:rPr>
                <w:sz w:val="28"/>
                <w:szCs w:val="28"/>
              </w:rPr>
              <w:t>Показатели</w:t>
            </w:r>
          </w:p>
        </w:tc>
        <w:tc>
          <w:tcPr>
            <w:tcW w:w="1432" w:type="dxa"/>
            <w:vMerge w:val="restart"/>
            <w:tcBorders>
              <w:top w:val="single" w:sz="4" w:space="0" w:color="000000"/>
              <w:left w:val="single" w:sz="4" w:space="0" w:color="000000"/>
              <w:bottom w:val="single" w:sz="4" w:space="0" w:color="000000"/>
              <w:right w:val="nil"/>
            </w:tcBorders>
            <w:vAlign w:val="center"/>
          </w:tcPr>
          <w:p w:rsidR="00A27CD8" w:rsidRPr="00A27CD8" w:rsidRDefault="00A27CD8" w:rsidP="00BC36B0">
            <w:pPr>
              <w:pStyle w:val="230"/>
              <w:keepNext/>
              <w:keepLines/>
              <w:spacing w:after="0" w:line="276" w:lineRule="auto"/>
              <w:ind w:left="0" w:firstLine="0"/>
              <w:jc w:val="center"/>
              <w:rPr>
                <w:sz w:val="28"/>
                <w:szCs w:val="28"/>
              </w:rPr>
            </w:pPr>
            <w:r w:rsidRPr="00A27CD8">
              <w:rPr>
                <w:sz w:val="28"/>
                <w:szCs w:val="28"/>
              </w:rPr>
              <w:t>Ед. изм.</w:t>
            </w:r>
          </w:p>
        </w:tc>
        <w:tc>
          <w:tcPr>
            <w:tcW w:w="3039" w:type="dxa"/>
            <w:gridSpan w:val="2"/>
            <w:tcBorders>
              <w:top w:val="single" w:sz="4" w:space="0" w:color="000000"/>
              <w:left w:val="single" w:sz="4" w:space="0" w:color="000000"/>
              <w:bottom w:val="single" w:sz="4" w:space="0" w:color="000000"/>
              <w:right w:val="single" w:sz="4" w:space="0" w:color="000000"/>
            </w:tcBorders>
          </w:tcPr>
          <w:p w:rsidR="00A27CD8" w:rsidRPr="00A27CD8" w:rsidRDefault="00A27CD8" w:rsidP="00BC36B0">
            <w:pPr>
              <w:spacing w:line="276" w:lineRule="auto"/>
              <w:ind w:firstLine="0"/>
              <w:jc w:val="center"/>
              <w:rPr>
                <w:sz w:val="28"/>
                <w:szCs w:val="28"/>
              </w:rPr>
            </w:pPr>
            <w:r w:rsidRPr="00A27CD8">
              <w:rPr>
                <w:sz w:val="28"/>
                <w:szCs w:val="28"/>
              </w:rPr>
              <w:t>Прогноз на 2022 год</w:t>
            </w:r>
          </w:p>
        </w:tc>
        <w:tc>
          <w:tcPr>
            <w:tcW w:w="1409" w:type="dxa"/>
            <w:vMerge w:val="restart"/>
            <w:tcBorders>
              <w:top w:val="single" w:sz="4" w:space="0" w:color="000000"/>
              <w:left w:val="single" w:sz="4" w:space="0" w:color="000000"/>
              <w:bottom w:val="single" w:sz="4" w:space="0" w:color="000000"/>
              <w:right w:val="single" w:sz="4" w:space="0" w:color="000000"/>
            </w:tcBorders>
          </w:tcPr>
          <w:p w:rsidR="00A27CD8" w:rsidRPr="00A27CD8" w:rsidRDefault="00A27CD8" w:rsidP="00BC36B0">
            <w:pPr>
              <w:spacing w:line="276" w:lineRule="auto"/>
              <w:ind w:firstLine="0"/>
              <w:jc w:val="center"/>
              <w:rPr>
                <w:sz w:val="28"/>
                <w:szCs w:val="28"/>
              </w:rPr>
            </w:pPr>
            <w:r w:rsidRPr="00A27CD8">
              <w:rPr>
                <w:sz w:val="28"/>
                <w:szCs w:val="28"/>
              </w:rPr>
              <w:t>2022 год (оценка)</w:t>
            </w:r>
          </w:p>
        </w:tc>
      </w:tr>
      <w:tr w:rsidR="00A27CD8" w:rsidRPr="00A27CD8" w:rsidTr="00A27CD8">
        <w:trPr>
          <w:cantSplit/>
          <w:trHeight w:val="287"/>
        </w:trPr>
        <w:tc>
          <w:tcPr>
            <w:tcW w:w="3455" w:type="dxa"/>
            <w:vMerge/>
            <w:tcBorders>
              <w:top w:val="single" w:sz="4" w:space="0" w:color="000000"/>
              <w:left w:val="single" w:sz="4" w:space="0" w:color="000000"/>
              <w:bottom w:val="single" w:sz="4" w:space="0" w:color="000000"/>
              <w:right w:val="nil"/>
            </w:tcBorders>
            <w:vAlign w:val="center"/>
          </w:tcPr>
          <w:p w:rsidR="00A27CD8" w:rsidRPr="00A27CD8" w:rsidRDefault="00A27CD8" w:rsidP="00BC36B0">
            <w:pPr>
              <w:suppressAutoHyphens w:val="0"/>
              <w:spacing w:line="276" w:lineRule="auto"/>
              <w:ind w:firstLine="0"/>
              <w:jc w:val="center"/>
              <w:rPr>
                <w:sz w:val="28"/>
                <w:szCs w:val="28"/>
              </w:rPr>
            </w:pPr>
          </w:p>
        </w:tc>
        <w:tc>
          <w:tcPr>
            <w:tcW w:w="1432" w:type="dxa"/>
            <w:vMerge/>
            <w:tcBorders>
              <w:top w:val="single" w:sz="4" w:space="0" w:color="000000"/>
              <w:left w:val="single" w:sz="4" w:space="0" w:color="000000"/>
              <w:bottom w:val="single" w:sz="4" w:space="0" w:color="000000"/>
              <w:right w:val="nil"/>
            </w:tcBorders>
            <w:vAlign w:val="center"/>
          </w:tcPr>
          <w:p w:rsidR="00A27CD8" w:rsidRPr="00A27CD8" w:rsidRDefault="00A27CD8" w:rsidP="00BC36B0">
            <w:pPr>
              <w:suppressAutoHyphens w:val="0"/>
              <w:spacing w:line="276" w:lineRule="auto"/>
              <w:ind w:firstLine="0"/>
              <w:jc w:val="center"/>
              <w:rPr>
                <w:sz w:val="28"/>
                <w:szCs w:val="28"/>
              </w:rPr>
            </w:pPr>
          </w:p>
        </w:tc>
        <w:tc>
          <w:tcPr>
            <w:tcW w:w="1422"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keepNext/>
              <w:keepLines/>
              <w:spacing w:line="276" w:lineRule="auto"/>
              <w:ind w:firstLine="0"/>
              <w:jc w:val="center"/>
              <w:rPr>
                <w:sz w:val="28"/>
                <w:szCs w:val="28"/>
              </w:rPr>
            </w:pPr>
            <w:r w:rsidRPr="00A27CD8">
              <w:rPr>
                <w:sz w:val="28"/>
                <w:szCs w:val="28"/>
              </w:rPr>
              <w:t>1 вариант</w:t>
            </w:r>
          </w:p>
        </w:tc>
        <w:tc>
          <w:tcPr>
            <w:tcW w:w="1617"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keepNext/>
              <w:keepLines/>
              <w:spacing w:line="276" w:lineRule="auto"/>
              <w:ind w:firstLine="0"/>
              <w:jc w:val="center"/>
              <w:rPr>
                <w:sz w:val="28"/>
                <w:szCs w:val="28"/>
              </w:rPr>
            </w:pPr>
            <w:r w:rsidRPr="00A27CD8">
              <w:rPr>
                <w:sz w:val="28"/>
                <w:szCs w:val="28"/>
              </w:rPr>
              <w:t>2 вариант</w:t>
            </w: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CD8" w:rsidRPr="00A27CD8" w:rsidRDefault="00A27CD8" w:rsidP="00BC36B0">
            <w:pPr>
              <w:suppressAutoHyphens w:val="0"/>
              <w:spacing w:line="276" w:lineRule="auto"/>
              <w:ind w:firstLine="0"/>
              <w:jc w:val="center"/>
              <w:rPr>
                <w:sz w:val="28"/>
                <w:szCs w:val="28"/>
              </w:rPr>
            </w:pPr>
          </w:p>
        </w:tc>
      </w:tr>
      <w:tr w:rsidR="00A27CD8" w:rsidRPr="00A27CD8" w:rsidTr="00A27CD8">
        <w:trPr>
          <w:trHeight w:val="405"/>
        </w:trPr>
        <w:tc>
          <w:tcPr>
            <w:tcW w:w="3455"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rPr>
                <w:sz w:val="28"/>
                <w:szCs w:val="28"/>
              </w:rPr>
            </w:pPr>
            <w:r w:rsidRPr="00A27CD8">
              <w:rPr>
                <w:sz w:val="28"/>
                <w:szCs w:val="28"/>
              </w:rPr>
              <w:t>Оборот розничной торговли</w:t>
            </w:r>
          </w:p>
        </w:tc>
        <w:tc>
          <w:tcPr>
            <w:tcW w:w="1432"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млн. рублей</w:t>
            </w:r>
          </w:p>
        </w:tc>
        <w:tc>
          <w:tcPr>
            <w:tcW w:w="1422"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195 518,8</w:t>
            </w:r>
          </w:p>
        </w:tc>
        <w:tc>
          <w:tcPr>
            <w:tcW w:w="1617"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200 375,6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200 735,6</w:t>
            </w:r>
          </w:p>
        </w:tc>
      </w:tr>
      <w:tr w:rsidR="00A27CD8" w:rsidRPr="004B3A49" w:rsidTr="00A27CD8">
        <w:trPr>
          <w:trHeight w:val="405"/>
        </w:trPr>
        <w:tc>
          <w:tcPr>
            <w:tcW w:w="3455"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rPr>
                <w:sz w:val="28"/>
                <w:szCs w:val="28"/>
              </w:rPr>
            </w:pPr>
            <w:r w:rsidRPr="00A27CD8">
              <w:rPr>
                <w:sz w:val="28"/>
                <w:szCs w:val="28"/>
              </w:rPr>
              <w:t>Индекс физического объема оборота розничной торговли</w:t>
            </w:r>
          </w:p>
        </w:tc>
        <w:tc>
          <w:tcPr>
            <w:tcW w:w="1432"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w:t>
            </w:r>
          </w:p>
        </w:tc>
        <w:tc>
          <w:tcPr>
            <w:tcW w:w="1422"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99,1</w:t>
            </w:r>
          </w:p>
        </w:tc>
        <w:tc>
          <w:tcPr>
            <w:tcW w:w="1617" w:type="dxa"/>
            <w:tcBorders>
              <w:top w:val="single" w:sz="4" w:space="0" w:color="000000"/>
              <w:left w:val="single" w:sz="4" w:space="0" w:color="000000"/>
              <w:bottom w:val="single" w:sz="4" w:space="0" w:color="000000"/>
              <w:right w:val="nil"/>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101,9</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CD8" w:rsidRPr="00A27CD8" w:rsidRDefault="00A27CD8" w:rsidP="00BC36B0">
            <w:pPr>
              <w:pStyle w:val="230"/>
              <w:keepNext/>
              <w:keepLines/>
              <w:spacing w:after="0" w:line="240" w:lineRule="auto"/>
              <w:ind w:left="0" w:firstLine="0"/>
              <w:jc w:val="center"/>
              <w:rPr>
                <w:sz w:val="28"/>
                <w:szCs w:val="28"/>
              </w:rPr>
            </w:pPr>
            <w:r w:rsidRPr="00A27CD8">
              <w:rPr>
                <w:sz w:val="28"/>
                <w:szCs w:val="28"/>
              </w:rPr>
              <w:t>87,4</w:t>
            </w:r>
          </w:p>
        </w:tc>
      </w:tr>
    </w:tbl>
    <w:p w:rsidR="00A27CD8" w:rsidRPr="004B3A49" w:rsidRDefault="00A27CD8" w:rsidP="00A27CD8">
      <w:pPr>
        <w:widowControl w:val="0"/>
        <w:suppressAutoHyphens w:val="0"/>
        <w:autoSpaceDE w:val="0"/>
        <w:autoSpaceDN w:val="0"/>
        <w:adjustRightInd w:val="0"/>
        <w:spacing w:line="276" w:lineRule="auto"/>
        <w:rPr>
          <w:rFonts w:eastAsiaTheme="minorEastAsia"/>
          <w:sz w:val="28"/>
          <w:szCs w:val="28"/>
          <w:highlight w:val="yellow"/>
          <w:lang w:eastAsia="ru-RU"/>
        </w:rPr>
      </w:pPr>
    </w:p>
    <w:p w:rsidR="00A27CD8" w:rsidRPr="000C36AF" w:rsidRDefault="00D41B7C" w:rsidP="00A27CD8">
      <w:pPr>
        <w:widowControl w:val="0"/>
        <w:suppressAutoHyphens w:val="0"/>
        <w:autoSpaceDE w:val="0"/>
        <w:autoSpaceDN w:val="0"/>
        <w:adjustRightInd w:val="0"/>
        <w:spacing w:line="276" w:lineRule="auto"/>
        <w:rPr>
          <w:rFonts w:eastAsiaTheme="minorEastAsia"/>
          <w:sz w:val="28"/>
          <w:szCs w:val="28"/>
          <w:shd w:val="clear" w:color="auto" w:fill="FFFF00"/>
          <w:lang w:eastAsia="ru-RU"/>
        </w:rPr>
      </w:pPr>
      <w:r w:rsidRPr="000C36AF">
        <w:rPr>
          <w:rFonts w:eastAsiaTheme="minorEastAsia"/>
          <w:sz w:val="28"/>
          <w:szCs w:val="28"/>
          <w:lang w:eastAsia="ru-RU"/>
        </w:rPr>
        <w:t>О</w:t>
      </w:r>
      <w:r w:rsidR="00A27CD8" w:rsidRPr="000C36AF">
        <w:rPr>
          <w:rFonts w:eastAsiaTheme="minorEastAsia"/>
          <w:sz w:val="28"/>
          <w:szCs w:val="28"/>
          <w:lang w:eastAsia="ru-RU"/>
        </w:rPr>
        <w:t xml:space="preserve">борот розничной торговли в 2022 году скорректирован </w:t>
      </w:r>
      <w:r w:rsidRPr="000C36AF">
        <w:rPr>
          <w:rFonts w:eastAsiaTheme="minorEastAsia"/>
          <w:sz w:val="28"/>
          <w:szCs w:val="28"/>
          <w:lang w:eastAsia="ru-RU"/>
        </w:rPr>
        <w:t>незначительно относительно прошлого года</w:t>
      </w:r>
      <w:r w:rsidR="00A27CD8" w:rsidRPr="000C36AF">
        <w:rPr>
          <w:rFonts w:eastAsiaTheme="minorEastAsia"/>
          <w:sz w:val="28"/>
          <w:szCs w:val="28"/>
          <w:lang w:eastAsia="ru-RU"/>
        </w:rPr>
        <w:t xml:space="preserve"> до 200 735,6 млн. руб</w:t>
      </w:r>
      <w:r w:rsidR="00EF2D65">
        <w:rPr>
          <w:rFonts w:eastAsiaTheme="minorEastAsia"/>
          <w:sz w:val="28"/>
          <w:szCs w:val="28"/>
          <w:lang w:eastAsia="ru-RU"/>
        </w:rPr>
        <w:t>.</w:t>
      </w:r>
      <w:r w:rsidRPr="000C36AF">
        <w:rPr>
          <w:rFonts w:eastAsiaTheme="minorEastAsia"/>
          <w:sz w:val="28"/>
          <w:szCs w:val="28"/>
          <w:lang w:eastAsia="ru-RU"/>
        </w:rPr>
        <w:t>,</w:t>
      </w:r>
      <w:r w:rsidR="00A27CD8" w:rsidRPr="000C36AF">
        <w:rPr>
          <w:rFonts w:eastAsiaTheme="minorEastAsia"/>
          <w:sz w:val="28"/>
          <w:szCs w:val="28"/>
          <w:lang w:eastAsia="ru-RU"/>
        </w:rPr>
        <w:t xml:space="preserve"> </w:t>
      </w:r>
      <w:r w:rsidRPr="000C36AF">
        <w:rPr>
          <w:rFonts w:eastAsiaTheme="minorEastAsia"/>
          <w:sz w:val="28"/>
          <w:szCs w:val="28"/>
          <w:lang w:eastAsia="ru-RU"/>
        </w:rPr>
        <w:t xml:space="preserve">при этом </w:t>
      </w:r>
      <w:r w:rsidR="00A27CD8" w:rsidRPr="000C36AF">
        <w:rPr>
          <w:rFonts w:eastAsiaTheme="minorEastAsia"/>
          <w:sz w:val="28"/>
          <w:szCs w:val="28"/>
          <w:lang w:eastAsia="ru-RU"/>
        </w:rPr>
        <w:t xml:space="preserve">индекс физического объема </w:t>
      </w:r>
      <w:r w:rsidRPr="000C36AF">
        <w:rPr>
          <w:rFonts w:eastAsiaTheme="minorEastAsia"/>
          <w:sz w:val="28"/>
          <w:szCs w:val="28"/>
          <w:lang w:eastAsia="ru-RU"/>
        </w:rPr>
        <w:t>(темп роста в сопоставимых ценах) сложится значительно ниже ввиду повышенной инфляции</w:t>
      </w:r>
      <w:r w:rsidR="00A27CD8" w:rsidRPr="000C36AF">
        <w:rPr>
          <w:rFonts w:eastAsiaTheme="minorEastAsia"/>
          <w:sz w:val="28"/>
          <w:szCs w:val="28"/>
          <w:lang w:eastAsia="ru-RU"/>
        </w:rPr>
        <w:t>.</w:t>
      </w:r>
    </w:p>
    <w:p w:rsidR="00A27CD8" w:rsidRPr="00A27CD8" w:rsidRDefault="00A27CD8" w:rsidP="00A27CD8">
      <w:pPr>
        <w:widowControl w:val="0"/>
        <w:suppressAutoHyphens w:val="0"/>
        <w:autoSpaceDE w:val="0"/>
        <w:autoSpaceDN w:val="0"/>
        <w:adjustRightInd w:val="0"/>
        <w:spacing w:line="276" w:lineRule="auto"/>
        <w:rPr>
          <w:rFonts w:eastAsiaTheme="minorEastAsia"/>
          <w:sz w:val="28"/>
          <w:szCs w:val="28"/>
          <w:lang w:eastAsia="ru-RU"/>
        </w:rPr>
      </w:pPr>
      <w:r w:rsidRPr="00A27CD8">
        <w:rPr>
          <w:rFonts w:eastAsiaTheme="minorEastAsia"/>
          <w:sz w:val="28"/>
          <w:szCs w:val="28"/>
          <w:lang w:eastAsia="ru-RU"/>
        </w:rPr>
        <w:t>В целях развития потребительского рынка, поддержки местных товаропроизводителей, конкурентной среды, а также для снижения и стабилизации цен на товары и услуги в отчетном периоде реализовывались мероприятия:</w:t>
      </w:r>
    </w:p>
    <w:p w:rsidR="00A27CD8" w:rsidRPr="00A27CD8" w:rsidRDefault="00A27CD8" w:rsidP="00A27CD8">
      <w:pPr>
        <w:widowControl w:val="0"/>
        <w:suppressAutoHyphens w:val="0"/>
        <w:autoSpaceDE w:val="0"/>
        <w:autoSpaceDN w:val="0"/>
        <w:adjustRightInd w:val="0"/>
        <w:spacing w:line="276" w:lineRule="auto"/>
        <w:rPr>
          <w:rFonts w:eastAsiaTheme="minorEastAsia"/>
          <w:sz w:val="28"/>
          <w:szCs w:val="28"/>
          <w:lang w:eastAsia="ru-RU"/>
        </w:rPr>
      </w:pPr>
      <w:r w:rsidRPr="00A27CD8">
        <w:rPr>
          <w:rFonts w:eastAsiaTheme="minorEastAsia"/>
          <w:sz w:val="28"/>
          <w:szCs w:val="28"/>
          <w:lang w:eastAsia="ru-RU"/>
        </w:rPr>
        <w:t>-</w:t>
      </w:r>
      <w:r w:rsidR="00CB105D">
        <w:rPr>
          <w:rFonts w:eastAsiaTheme="minorEastAsia"/>
          <w:sz w:val="28"/>
          <w:szCs w:val="28"/>
          <w:lang w:eastAsia="ru-RU"/>
        </w:rPr>
        <w:t> </w:t>
      </w:r>
      <w:r w:rsidRPr="00A27CD8">
        <w:rPr>
          <w:rFonts w:eastAsiaTheme="minorEastAsia"/>
          <w:sz w:val="28"/>
          <w:szCs w:val="28"/>
          <w:lang w:eastAsia="ru-RU"/>
        </w:rPr>
        <w:t>мониторинг розничных цен на социально значимые продовольственные товары на предприятиях розничной торговли;</w:t>
      </w:r>
    </w:p>
    <w:p w:rsidR="00A27CD8" w:rsidRPr="00A27CD8" w:rsidRDefault="00A27CD8" w:rsidP="00A27CD8">
      <w:pPr>
        <w:widowControl w:val="0"/>
        <w:suppressAutoHyphens w:val="0"/>
        <w:autoSpaceDE w:val="0"/>
        <w:autoSpaceDN w:val="0"/>
        <w:adjustRightInd w:val="0"/>
        <w:spacing w:line="276" w:lineRule="auto"/>
        <w:rPr>
          <w:rFonts w:eastAsiaTheme="minorEastAsia"/>
          <w:sz w:val="28"/>
          <w:szCs w:val="28"/>
          <w:lang w:eastAsia="ru-RU"/>
        </w:rPr>
      </w:pPr>
      <w:r w:rsidRPr="00A27CD8">
        <w:rPr>
          <w:rFonts w:eastAsiaTheme="minorEastAsia"/>
          <w:sz w:val="28"/>
          <w:szCs w:val="28"/>
          <w:lang w:eastAsia="ru-RU"/>
        </w:rPr>
        <w:t>-</w:t>
      </w:r>
      <w:r w:rsidR="00CB105D">
        <w:rPr>
          <w:rFonts w:eastAsiaTheme="minorEastAsia"/>
          <w:sz w:val="28"/>
          <w:szCs w:val="28"/>
          <w:lang w:eastAsia="ru-RU"/>
        </w:rPr>
        <w:t> </w:t>
      </w:r>
      <w:r w:rsidRPr="00A27CD8">
        <w:rPr>
          <w:rFonts w:eastAsiaTheme="minorEastAsia"/>
          <w:sz w:val="28"/>
          <w:szCs w:val="28"/>
          <w:lang w:eastAsia="ru-RU"/>
        </w:rPr>
        <w:t>мониторинг розничных цен на продовольственные товары и сельскохозяйственную продукцию на рынках и ярмарках.</w:t>
      </w:r>
    </w:p>
    <w:p w:rsidR="00A27CD8" w:rsidRPr="00A27CD8" w:rsidRDefault="00A27CD8" w:rsidP="00A27CD8">
      <w:pPr>
        <w:widowControl w:val="0"/>
        <w:suppressAutoHyphens w:val="0"/>
        <w:autoSpaceDE w:val="0"/>
        <w:autoSpaceDN w:val="0"/>
        <w:adjustRightInd w:val="0"/>
        <w:spacing w:line="276" w:lineRule="auto"/>
        <w:rPr>
          <w:rFonts w:eastAsiaTheme="minorEastAsia"/>
          <w:sz w:val="28"/>
          <w:szCs w:val="28"/>
          <w:lang w:eastAsia="ru-RU"/>
        </w:rPr>
      </w:pPr>
      <w:r w:rsidRPr="00A27CD8">
        <w:rPr>
          <w:rFonts w:eastAsiaTheme="minorEastAsia"/>
          <w:sz w:val="28"/>
          <w:szCs w:val="28"/>
          <w:lang w:eastAsia="ru-RU"/>
        </w:rPr>
        <w:t>- мониторинг розничных цен по бензину и дизельному топливу на АЗС городского округа Тольятти.</w:t>
      </w:r>
    </w:p>
    <w:p w:rsidR="00A27CD8" w:rsidRDefault="00A27CD8" w:rsidP="00CB105D">
      <w:pPr>
        <w:widowControl w:val="0"/>
        <w:suppressAutoHyphens w:val="0"/>
        <w:autoSpaceDE w:val="0"/>
        <w:autoSpaceDN w:val="0"/>
        <w:adjustRightInd w:val="0"/>
        <w:spacing w:after="120" w:line="276" w:lineRule="auto"/>
        <w:rPr>
          <w:rFonts w:eastAsiaTheme="minorEastAsia"/>
          <w:sz w:val="28"/>
          <w:szCs w:val="28"/>
          <w:lang w:eastAsia="ru-RU"/>
        </w:rPr>
      </w:pPr>
      <w:r w:rsidRPr="00A27CD8">
        <w:rPr>
          <w:rFonts w:eastAsiaTheme="minorEastAsia"/>
          <w:sz w:val="28"/>
          <w:szCs w:val="28"/>
          <w:lang w:eastAsia="ru-RU"/>
        </w:rPr>
        <w:t xml:space="preserve">Данные мониторингов </w:t>
      </w:r>
      <w:r w:rsidRPr="00A27CD8">
        <w:rPr>
          <w:sz w:val="28"/>
          <w:szCs w:val="28"/>
        </w:rPr>
        <w:t xml:space="preserve">ежедневно передаются в </w:t>
      </w:r>
      <w:r w:rsidR="00102CE7">
        <w:rPr>
          <w:sz w:val="28"/>
          <w:szCs w:val="28"/>
        </w:rPr>
        <w:t>м</w:t>
      </w:r>
      <w:r w:rsidRPr="00A27CD8">
        <w:rPr>
          <w:sz w:val="28"/>
          <w:szCs w:val="28"/>
        </w:rPr>
        <w:t>инистерство промышленности и торговли Самарской области через АРМ «Мониторинг».</w:t>
      </w:r>
    </w:p>
    <w:p w:rsidR="004D3812" w:rsidRPr="00D41B7C" w:rsidRDefault="004D3812" w:rsidP="00CB105D">
      <w:pPr>
        <w:pStyle w:val="3"/>
        <w:spacing w:before="120" w:after="120"/>
        <w:rPr>
          <w:sz w:val="28"/>
          <w:szCs w:val="28"/>
          <w:shd w:val="clear" w:color="auto" w:fill="FFFFFF"/>
        </w:rPr>
      </w:pPr>
      <w:r w:rsidRPr="00D41B7C">
        <w:rPr>
          <w:sz w:val="28"/>
          <w:szCs w:val="28"/>
          <w:shd w:val="clear" w:color="auto" w:fill="FFFFFF"/>
        </w:rPr>
        <w:t>Охрана окружающей среды</w:t>
      </w:r>
      <w:bookmarkStart w:id="16" w:name="экология"/>
      <w:bookmarkEnd w:id="16"/>
    </w:p>
    <w:p w:rsidR="00EC0E58" w:rsidRPr="004C53C2" w:rsidRDefault="00EC0E58" w:rsidP="00CB105D">
      <w:pPr>
        <w:suppressAutoHyphens w:val="0"/>
        <w:spacing w:before="120" w:line="276" w:lineRule="auto"/>
        <w:rPr>
          <w:color w:val="000000"/>
          <w:sz w:val="28"/>
          <w:szCs w:val="28"/>
          <w:lang w:eastAsia="ru-RU"/>
        </w:rPr>
      </w:pPr>
      <w:r w:rsidRPr="004C53C2">
        <w:rPr>
          <w:color w:val="000000"/>
          <w:sz w:val="28"/>
          <w:szCs w:val="28"/>
          <w:lang w:eastAsia="ru-RU"/>
        </w:rPr>
        <w:t>Состояние окружающей среды городского округа Тольятти, обусловленное наличием на его территории крупных промышленных и автотранспортных предприятий, создает необходимость проводить целенаправленную экологическую политику.</w:t>
      </w:r>
    </w:p>
    <w:p w:rsidR="00EC0E58" w:rsidRPr="00CC5FCC" w:rsidRDefault="00EC0E58" w:rsidP="00CB105D">
      <w:pPr>
        <w:spacing w:line="276" w:lineRule="auto"/>
        <w:rPr>
          <w:sz w:val="28"/>
          <w:szCs w:val="28"/>
        </w:rPr>
      </w:pPr>
      <w:r w:rsidRPr="00CC5FCC">
        <w:rPr>
          <w:color w:val="000000"/>
          <w:sz w:val="28"/>
          <w:szCs w:val="28"/>
        </w:rPr>
        <w:t xml:space="preserve">Систематическое наблюдение за содержанием в атмосферном воздухе вредных веществ на территории городского округа Тольятти осуществляется Тольяттинской специализированной гидрометеорологической обсерваторией. Наблюдения за качеством атмосферного воздуха проводятся на 8 стационарных постах наблюдения (ПНЗ). На ПНЗ осуществляются наблюдения за содержанием в воздухе основных (пыль, диоксид азота, оксид азота, оксид углерода, диоксид серы) примесей и специфических (аммиак, формальдегид, фтористый водород, суммарные углеводороды, бензол, толуол, этилбензол и ксилол). </w:t>
      </w:r>
    </w:p>
    <w:p w:rsidR="00EC0E58" w:rsidRPr="00CC5FCC" w:rsidRDefault="00EC0E58" w:rsidP="00CB105D">
      <w:pPr>
        <w:autoSpaceDE w:val="0"/>
        <w:autoSpaceDN w:val="0"/>
        <w:adjustRightInd w:val="0"/>
        <w:spacing w:line="276" w:lineRule="auto"/>
        <w:rPr>
          <w:color w:val="000000"/>
          <w:sz w:val="28"/>
          <w:szCs w:val="28"/>
        </w:rPr>
      </w:pPr>
      <w:r w:rsidRPr="00CC5FCC">
        <w:rPr>
          <w:color w:val="000000"/>
          <w:sz w:val="28"/>
          <w:szCs w:val="28"/>
        </w:rPr>
        <w:t>Во исполнение постановления Правительства Самарской области от 24.11.2010 № 596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Самарской области» на официальном портале администрации в разделе городского хозяйства осуществляется информирование населения о наступлении НМУ по данным Тольяттинской СГМО ФГБУ «Приволжское УГМС».</w:t>
      </w:r>
    </w:p>
    <w:p w:rsidR="00EC0E58" w:rsidRPr="00CC5FCC" w:rsidRDefault="00EC0E58" w:rsidP="00CB105D">
      <w:pPr>
        <w:spacing w:line="276" w:lineRule="auto"/>
        <w:rPr>
          <w:color w:val="000000"/>
          <w:sz w:val="28"/>
          <w:szCs w:val="28"/>
        </w:rPr>
      </w:pPr>
      <w:r w:rsidRPr="00CC5FCC">
        <w:rPr>
          <w:sz w:val="28"/>
          <w:szCs w:val="28"/>
        </w:rPr>
        <w:t>Для оперативного реагирования в случае усиления специфических химических запахов в атмосферном воздухе на территории городского округа Тольятти в 2022 году продолжена работа передвижной экологической лаборатории (ПЭЛ), находящейся в оперативном управлении в Тольяттинском государственном университете (ТГУ). В январе – марте 2022 года ПЭЛ находилась на ежегодной поверке на заводе-изготовителе ОАО «Лига» (г. Саратов). В апреле - июне 2022 года ПЭЛ фиксировались незначительные превышения ПДК по оксиду углерода, по этилбензолу (0,3% от общего количества отобранных проб). Случаев высокого и экстремально высокого загрязнения атмосферы не зафиксировано.</w:t>
      </w:r>
    </w:p>
    <w:p w:rsidR="00EC0E58" w:rsidRDefault="00EC0E58" w:rsidP="00CB105D">
      <w:pPr>
        <w:spacing w:line="276" w:lineRule="auto"/>
        <w:rPr>
          <w:color w:val="000000"/>
          <w:sz w:val="28"/>
          <w:szCs w:val="28"/>
        </w:rPr>
      </w:pPr>
      <w:r w:rsidRPr="00CC5FCC">
        <w:rPr>
          <w:color w:val="000000"/>
          <w:sz w:val="28"/>
          <w:szCs w:val="28"/>
        </w:rPr>
        <w:t>В целях информирования населения о состоянии экологии в городе на официальном портале администрации городского округа Тольятти (eco.tgl.ru) размещен электронный «Экологический атлас городского округа Тольятти», один из слоев которого отражает (в цветовом и количественном выражении) уровень загрязнения атмосферного воздуха по 8-ми стационарным постам наблюдения. Данные по загрязнению воздуха размещаются в Экологическом атласе по мере поступления данных Тольяттинской СГМО и доступны для всех жителей города.</w:t>
      </w:r>
    </w:p>
    <w:p w:rsidR="00EC0E58" w:rsidRPr="00CC5FCC" w:rsidRDefault="00EC0E58" w:rsidP="00CB105D">
      <w:pPr>
        <w:spacing w:line="276" w:lineRule="auto"/>
        <w:rPr>
          <w:color w:val="000000"/>
          <w:sz w:val="28"/>
          <w:szCs w:val="28"/>
        </w:rPr>
      </w:pPr>
      <w:r w:rsidRPr="00CC5FCC">
        <w:rPr>
          <w:color w:val="000000"/>
          <w:sz w:val="28"/>
          <w:szCs w:val="28"/>
        </w:rPr>
        <w:t>В 2021 году разработан новый слой «Экологического атласа городского округа Тольятти» и теперь все желающие имеют возможность ознакомиться с результатами замеров атмосферного воздуха ПЭЛ,</w:t>
      </w:r>
      <w:r w:rsidRPr="00CC5FCC">
        <w:rPr>
          <w:sz w:val="28"/>
          <w:szCs w:val="28"/>
        </w:rPr>
        <w:t xml:space="preserve"> в</w:t>
      </w:r>
      <w:r w:rsidRPr="00CC5FCC">
        <w:rPr>
          <w:color w:val="000000"/>
          <w:sz w:val="28"/>
          <w:szCs w:val="28"/>
        </w:rPr>
        <w:t>се данные публикуются в автоматическом режиме.</w:t>
      </w:r>
    </w:p>
    <w:p w:rsidR="00EC0E58" w:rsidRPr="00CC5FCC" w:rsidRDefault="00EC0E58" w:rsidP="00CB105D">
      <w:pPr>
        <w:spacing w:line="276" w:lineRule="auto"/>
        <w:rPr>
          <w:color w:val="000000"/>
          <w:sz w:val="28"/>
          <w:szCs w:val="28"/>
        </w:rPr>
      </w:pPr>
      <w:r w:rsidRPr="00CC5FCC">
        <w:rPr>
          <w:color w:val="000000"/>
          <w:sz w:val="28"/>
          <w:szCs w:val="28"/>
        </w:rPr>
        <w:t xml:space="preserve">К основным экологическим проблемам городского округа Тольятти относятся: </w:t>
      </w:r>
    </w:p>
    <w:p w:rsidR="00EC0E58" w:rsidRPr="00CC5FCC" w:rsidRDefault="00EC0E58" w:rsidP="00CB105D">
      <w:pPr>
        <w:spacing w:line="276" w:lineRule="auto"/>
        <w:rPr>
          <w:sz w:val="28"/>
          <w:szCs w:val="28"/>
        </w:rPr>
      </w:pPr>
      <w:r w:rsidRPr="00CC5FCC">
        <w:rPr>
          <w:sz w:val="28"/>
          <w:szCs w:val="28"/>
        </w:rPr>
        <w:t xml:space="preserve">Наличие отходов 1-4 классов опасности на территории промплощадки бывшего ОАО «Фосфор». </w:t>
      </w:r>
    </w:p>
    <w:p w:rsidR="00EC0E58" w:rsidRPr="00010FD3" w:rsidRDefault="00EC0E58" w:rsidP="00CB105D">
      <w:pPr>
        <w:spacing w:line="276" w:lineRule="auto"/>
        <w:rPr>
          <w:sz w:val="28"/>
          <w:szCs w:val="28"/>
        </w:rPr>
      </w:pPr>
      <w:r w:rsidRPr="00010FD3">
        <w:rPr>
          <w:sz w:val="28"/>
          <w:szCs w:val="28"/>
        </w:rPr>
        <w:t xml:space="preserve">У органов местного самоуправления отсутствуют полномочия в отношении отходов/веществ, расположенных на территории бывшего ОАО «Фосфор», собственник которых не установлен. </w:t>
      </w:r>
    </w:p>
    <w:p w:rsidR="00EC0E58" w:rsidRPr="00010FD3" w:rsidRDefault="00EC0E58" w:rsidP="00CB105D">
      <w:pPr>
        <w:spacing w:line="276" w:lineRule="auto"/>
        <w:rPr>
          <w:sz w:val="28"/>
          <w:szCs w:val="28"/>
        </w:rPr>
      </w:pPr>
      <w:r w:rsidRPr="00010FD3">
        <w:rPr>
          <w:sz w:val="28"/>
          <w:szCs w:val="28"/>
        </w:rPr>
        <w:t>Министерством промышленности Самарской области 31.08.2021 сформированы и направлены в Минприроды РФ 11 заявок для включения в государственный реестр объектов накопленного вреда окружающей среде (ГРОНВОС).</w:t>
      </w:r>
    </w:p>
    <w:p w:rsidR="00EC0E58" w:rsidRPr="00CC5FCC" w:rsidRDefault="00EC0E58" w:rsidP="00CB105D">
      <w:pPr>
        <w:spacing w:line="276" w:lineRule="auto"/>
        <w:rPr>
          <w:sz w:val="28"/>
          <w:szCs w:val="28"/>
        </w:rPr>
      </w:pPr>
      <w:r w:rsidRPr="00010FD3">
        <w:rPr>
          <w:sz w:val="28"/>
          <w:szCs w:val="28"/>
        </w:rPr>
        <w:t>Минприроды РФ во включении объектов в ГРОНВОС отказано на основании наличия на земельных участках ОКС, имеющих собственников.</w:t>
      </w:r>
      <w:r w:rsidR="0031203E">
        <w:rPr>
          <w:sz w:val="28"/>
          <w:szCs w:val="28"/>
        </w:rPr>
        <w:t xml:space="preserve"> </w:t>
      </w:r>
    </w:p>
    <w:p w:rsidR="00EC0E58" w:rsidRPr="00CC5FCC" w:rsidRDefault="00EC0E58" w:rsidP="00CB105D">
      <w:pPr>
        <w:spacing w:line="276" w:lineRule="auto"/>
        <w:rPr>
          <w:sz w:val="28"/>
          <w:szCs w:val="28"/>
        </w:rPr>
      </w:pPr>
      <w:r w:rsidRPr="00CC5FCC">
        <w:rPr>
          <w:sz w:val="28"/>
          <w:szCs w:val="28"/>
        </w:rPr>
        <w:t xml:space="preserve">C целью ликвидации наиболее опасных объектов накопленного вреда окружающей среде на территории Российской Федерации реализуется проект «Генеральная уборка». </w:t>
      </w:r>
    </w:p>
    <w:p w:rsidR="00EC0E58" w:rsidRPr="00CC5FCC" w:rsidRDefault="00EC0E58" w:rsidP="00CB105D">
      <w:pPr>
        <w:spacing w:line="276" w:lineRule="auto"/>
        <w:rPr>
          <w:sz w:val="28"/>
          <w:szCs w:val="28"/>
        </w:rPr>
      </w:pPr>
      <w:r w:rsidRPr="00CC5FCC">
        <w:rPr>
          <w:sz w:val="28"/>
          <w:szCs w:val="28"/>
        </w:rPr>
        <w:t xml:space="preserve">В целях рассмотрения вопроса о проведении обследования объектов территории бывшего ОАО «Фосфор» для включения в федеральный проект «Генеральная уборка» 08.06.2022 администрацией городского округа Тольятти направлялась информация в межрегиональное управление Росприроднадзора по Самарской и Ульяновской областям. </w:t>
      </w:r>
    </w:p>
    <w:p w:rsidR="00EC0E58" w:rsidRPr="00CC5FCC" w:rsidRDefault="00EC0E58" w:rsidP="00CB105D">
      <w:pPr>
        <w:spacing w:line="276" w:lineRule="auto"/>
        <w:rPr>
          <w:sz w:val="28"/>
          <w:szCs w:val="28"/>
        </w:rPr>
      </w:pPr>
      <w:r w:rsidRPr="00CC5FCC">
        <w:rPr>
          <w:sz w:val="28"/>
          <w:szCs w:val="28"/>
        </w:rPr>
        <w:t>Другая важная проблема - влияние на окружающую среду несанкционированных свалок отходов производства и потребления.</w:t>
      </w:r>
    </w:p>
    <w:p w:rsidR="00EC0E58" w:rsidRPr="00CC5FCC" w:rsidRDefault="00EC0E58" w:rsidP="00CB105D">
      <w:pPr>
        <w:spacing w:line="276" w:lineRule="auto"/>
        <w:rPr>
          <w:sz w:val="28"/>
          <w:szCs w:val="28"/>
        </w:rPr>
      </w:pPr>
      <w:r w:rsidRPr="00CC5FCC">
        <w:rPr>
          <w:sz w:val="28"/>
          <w:szCs w:val="28"/>
        </w:rPr>
        <w:t>В настоящее время на территории городского округа Тольятти расположено 45 несанкционированных свалок. Общая площадь, занятая отходами составляет – 30,72 Га. На реализацию мероприятия по ликвидации данных несанкционированных свалок общим объемом 53 300 куб. м необходимо более 74 600 тыс. руб. (ориентировочно).</w:t>
      </w:r>
    </w:p>
    <w:p w:rsidR="005F00E6" w:rsidRPr="00CC5FCC" w:rsidRDefault="005F00E6" w:rsidP="00CB105D">
      <w:pPr>
        <w:spacing w:line="276" w:lineRule="auto"/>
        <w:rPr>
          <w:color w:val="000000"/>
          <w:sz w:val="28"/>
          <w:szCs w:val="28"/>
        </w:rPr>
      </w:pPr>
      <w:r w:rsidRPr="005F00E6">
        <w:rPr>
          <w:sz w:val="28"/>
          <w:szCs w:val="28"/>
        </w:rPr>
        <w:t>В рамках реализации муниципальной программы «Охрана окружающей среды на территории городского округа Тольятти на 2022-2026 годы» в 2022 году предусмотрены мероприятия по ликвидации несанкционированных свалок на территории городского округа общим объемом ликвидированных отходов 1 332 куб.</w:t>
      </w:r>
      <w:r w:rsidR="00A42679">
        <w:rPr>
          <w:sz w:val="28"/>
          <w:szCs w:val="28"/>
        </w:rPr>
        <w:t xml:space="preserve"> </w:t>
      </w:r>
      <w:r w:rsidRPr="005F00E6">
        <w:rPr>
          <w:sz w:val="28"/>
          <w:szCs w:val="28"/>
        </w:rPr>
        <w:t>м.</w:t>
      </w:r>
      <w:r w:rsidRPr="00CC5FCC">
        <w:rPr>
          <w:sz w:val="28"/>
          <w:szCs w:val="28"/>
        </w:rPr>
        <w:t xml:space="preserve"> </w:t>
      </w:r>
    </w:p>
    <w:p w:rsidR="00EC0E58" w:rsidRPr="00CC5FCC" w:rsidRDefault="00A42679" w:rsidP="00CB105D">
      <w:pPr>
        <w:widowControl w:val="0"/>
        <w:spacing w:line="276" w:lineRule="auto"/>
        <w:rPr>
          <w:sz w:val="28"/>
          <w:szCs w:val="28"/>
          <w:lang w:eastAsia="ar-SA"/>
        </w:rPr>
      </w:pPr>
      <w:r>
        <w:rPr>
          <w:color w:val="000000"/>
          <w:sz w:val="28"/>
          <w:szCs w:val="28"/>
        </w:rPr>
        <w:t>В</w:t>
      </w:r>
      <w:r w:rsidR="00EC0E58" w:rsidRPr="00CC5FCC">
        <w:rPr>
          <w:color w:val="000000"/>
          <w:sz w:val="28"/>
          <w:szCs w:val="28"/>
        </w:rPr>
        <w:t xml:space="preserve"> 2022 году </w:t>
      </w:r>
      <w:r>
        <w:rPr>
          <w:color w:val="000000"/>
          <w:sz w:val="28"/>
          <w:szCs w:val="28"/>
        </w:rPr>
        <w:t>запланировано</w:t>
      </w:r>
      <w:r w:rsidR="00EC0E58" w:rsidRPr="005F00E6">
        <w:rPr>
          <w:color w:val="000000"/>
          <w:sz w:val="28"/>
          <w:szCs w:val="28"/>
        </w:rPr>
        <w:t xml:space="preserve"> мероприяти</w:t>
      </w:r>
      <w:r>
        <w:rPr>
          <w:color w:val="000000"/>
          <w:sz w:val="28"/>
          <w:szCs w:val="28"/>
        </w:rPr>
        <w:t>е</w:t>
      </w:r>
      <w:r w:rsidR="00EC0E58" w:rsidRPr="005F00E6">
        <w:rPr>
          <w:color w:val="000000"/>
          <w:sz w:val="28"/>
          <w:szCs w:val="28"/>
        </w:rPr>
        <w:t xml:space="preserve"> по</w:t>
      </w:r>
      <w:r w:rsidR="00EC0E58" w:rsidRPr="005F00E6">
        <w:rPr>
          <w:sz w:val="28"/>
          <w:szCs w:val="28"/>
          <w:lang w:eastAsia="ar-SA"/>
        </w:rPr>
        <w:t xml:space="preserve"> выполнению проектно-изыскательских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за счет средств областного </w:t>
      </w:r>
      <w:r>
        <w:rPr>
          <w:sz w:val="28"/>
          <w:szCs w:val="28"/>
          <w:lang w:eastAsia="ar-SA"/>
        </w:rPr>
        <w:t>и</w:t>
      </w:r>
      <w:r w:rsidR="00EC0E58" w:rsidRPr="005F00E6">
        <w:rPr>
          <w:sz w:val="28"/>
          <w:szCs w:val="28"/>
          <w:lang w:eastAsia="ar-SA"/>
        </w:rPr>
        <w:t xml:space="preserve"> местного бюджет</w:t>
      </w:r>
      <w:r>
        <w:rPr>
          <w:sz w:val="28"/>
          <w:szCs w:val="28"/>
          <w:lang w:eastAsia="ar-SA"/>
        </w:rPr>
        <w:t>ов</w:t>
      </w:r>
      <w:r w:rsidR="00EC0E58" w:rsidRPr="005F00E6">
        <w:rPr>
          <w:sz w:val="28"/>
          <w:szCs w:val="28"/>
          <w:lang w:eastAsia="ar-SA"/>
        </w:rPr>
        <w:t>.</w:t>
      </w:r>
      <w:r w:rsidR="00EC0E58" w:rsidRPr="00CC5FCC">
        <w:rPr>
          <w:sz w:val="28"/>
          <w:szCs w:val="28"/>
          <w:lang w:eastAsia="ar-SA"/>
        </w:rPr>
        <w:t xml:space="preserve"> </w:t>
      </w:r>
    </w:p>
    <w:p w:rsidR="00EC0E58" w:rsidRPr="006561AD" w:rsidRDefault="00A42679" w:rsidP="00CB105D">
      <w:pPr>
        <w:widowControl w:val="0"/>
        <w:spacing w:line="276" w:lineRule="auto"/>
        <w:rPr>
          <w:color w:val="000000"/>
          <w:sz w:val="28"/>
          <w:szCs w:val="28"/>
          <w:highlight w:val="cyan"/>
          <w:lang w:eastAsia="ru-RU"/>
        </w:rPr>
      </w:pPr>
      <w:r>
        <w:rPr>
          <w:color w:val="000000"/>
          <w:sz w:val="28"/>
          <w:szCs w:val="28"/>
        </w:rPr>
        <w:t>П</w:t>
      </w:r>
      <w:r w:rsidR="00EC0E58" w:rsidRPr="00CC5FCC">
        <w:rPr>
          <w:color w:val="000000"/>
          <w:sz w:val="28"/>
          <w:szCs w:val="28"/>
        </w:rPr>
        <w:t>ромышленны</w:t>
      </w:r>
      <w:r>
        <w:rPr>
          <w:color w:val="000000"/>
          <w:sz w:val="28"/>
          <w:szCs w:val="28"/>
        </w:rPr>
        <w:t>ми</w:t>
      </w:r>
      <w:r w:rsidR="00EC0E58" w:rsidRPr="00CC5FCC">
        <w:rPr>
          <w:color w:val="000000"/>
          <w:sz w:val="28"/>
          <w:szCs w:val="28"/>
        </w:rPr>
        <w:t xml:space="preserve"> предприятия</w:t>
      </w:r>
      <w:r>
        <w:rPr>
          <w:color w:val="000000"/>
          <w:sz w:val="28"/>
          <w:szCs w:val="28"/>
        </w:rPr>
        <w:t>ми</w:t>
      </w:r>
      <w:r w:rsidR="00EC0E58" w:rsidRPr="00CC5FCC">
        <w:rPr>
          <w:color w:val="000000"/>
          <w:sz w:val="28"/>
          <w:szCs w:val="28"/>
        </w:rPr>
        <w:t xml:space="preserve"> </w:t>
      </w:r>
      <w:r>
        <w:rPr>
          <w:color w:val="000000"/>
          <w:sz w:val="28"/>
          <w:szCs w:val="28"/>
        </w:rPr>
        <w:t>город</w:t>
      </w:r>
      <w:r w:rsidR="00EC0E58" w:rsidRPr="00CC5FCC">
        <w:rPr>
          <w:color w:val="000000"/>
          <w:sz w:val="28"/>
          <w:szCs w:val="28"/>
        </w:rPr>
        <w:t xml:space="preserve">а </w:t>
      </w:r>
      <w:r>
        <w:rPr>
          <w:color w:val="000000"/>
          <w:sz w:val="28"/>
          <w:szCs w:val="28"/>
        </w:rPr>
        <w:t xml:space="preserve">в </w:t>
      </w:r>
      <w:r w:rsidR="00EC0E58" w:rsidRPr="00CC5FCC">
        <w:rPr>
          <w:color w:val="000000"/>
          <w:sz w:val="28"/>
          <w:szCs w:val="28"/>
        </w:rPr>
        <w:t>2021 год</w:t>
      </w:r>
      <w:r>
        <w:rPr>
          <w:color w:val="000000"/>
          <w:sz w:val="28"/>
          <w:szCs w:val="28"/>
        </w:rPr>
        <w:t>у</w:t>
      </w:r>
      <w:r w:rsidR="00EC0E58" w:rsidRPr="00CC5FCC">
        <w:rPr>
          <w:color w:val="000000"/>
          <w:sz w:val="28"/>
          <w:szCs w:val="28"/>
        </w:rPr>
        <w:t xml:space="preserve"> осво</w:t>
      </w:r>
      <w:r>
        <w:rPr>
          <w:color w:val="000000"/>
          <w:sz w:val="28"/>
          <w:szCs w:val="28"/>
        </w:rPr>
        <w:t>ено</w:t>
      </w:r>
      <w:r w:rsidR="00EC0E58" w:rsidRPr="00CC5FCC">
        <w:rPr>
          <w:color w:val="000000"/>
          <w:sz w:val="28"/>
          <w:szCs w:val="28"/>
        </w:rPr>
        <w:t xml:space="preserve"> 3 861,6 млн. руб. на мероприятия, направленные на охрану атмосферного воздуха, водоёмов и почвы, соблюдение пр</w:t>
      </w:r>
      <w:r w:rsidR="00EC0E58">
        <w:rPr>
          <w:color w:val="000000"/>
          <w:sz w:val="28"/>
          <w:szCs w:val="28"/>
        </w:rPr>
        <w:t xml:space="preserve">иродоохранного </w:t>
      </w:r>
      <w:r w:rsidR="00EC0E58" w:rsidRPr="00005D9E">
        <w:rPr>
          <w:color w:val="000000"/>
          <w:sz w:val="28"/>
          <w:szCs w:val="28"/>
        </w:rPr>
        <w:t>законодательства</w:t>
      </w:r>
      <w:r w:rsidR="00EC0E58" w:rsidRPr="00005D9E">
        <w:rPr>
          <w:color w:val="000000"/>
          <w:sz w:val="28"/>
          <w:szCs w:val="28"/>
          <w:lang w:eastAsia="ru-RU"/>
        </w:rPr>
        <w:t xml:space="preserve"> (ООО «Тольяттикаучук», ПАО «Тольяттиазот», АО «АВТОВАЗ», ООО «АВТОГРАД-ВОДОКАНАЛ», ПАО «КуйбышевАзот», предприятия Тольяттинская ТЭЦ и ТЭЦ ВАЗа филиала «Самарский» ПАО «Т Плюс», ООО «Тольяттинский Трансформатор», ОАО «Волгоцеммаш»). В 2022 году объем инвестиций в экологические мероприятия предприятий ожидается на уровне </w:t>
      </w:r>
      <w:r w:rsidR="00EC0E58" w:rsidRPr="00005D9E">
        <w:rPr>
          <w:sz w:val="28"/>
          <w:szCs w:val="28"/>
        </w:rPr>
        <w:t xml:space="preserve">1 276,2 </w:t>
      </w:r>
      <w:r w:rsidR="00EC0E58" w:rsidRPr="00005D9E">
        <w:rPr>
          <w:sz w:val="28"/>
          <w:szCs w:val="28"/>
          <w:lang w:eastAsia="ru-RU"/>
        </w:rPr>
        <w:t>млн. руб.</w:t>
      </w:r>
    </w:p>
    <w:p w:rsidR="00EC0E58" w:rsidRPr="00CC5FCC" w:rsidRDefault="00EC0E58" w:rsidP="003C18A4">
      <w:pPr>
        <w:tabs>
          <w:tab w:val="left" w:pos="720"/>
        </w:tabs>
        <w:spacing w:line="276" w:lineRule="auto"/>
        <w:rPr>
          <w:sz w:val="28"/>
          <w:szCs w:val="28"/>
        </w:rPr>
      </w:pPr>
      <w:r w:rsidRPr="00CC5FCC">
        <w:rPr>
          <w:sz w:val="28"/>
          <w:szCs w:val="28"/>
        </w:rPr>
        <w:t>В 2022 году объём вредных веществ, выбрасываемых в атмосферный воздух стационарными источниками загрязнения, по оценке, составит 31,6 тыс. тонн, что на 2,5% ниже уровня 2021 года</w:t>
      </w:r>
      <w:r w:rsidR="00F96937">
        <w:rPr>
          <w:sz w:val="28"/>
          <w:szCs w:val="28"/>
        </w:rPr>
        <w:t xml:space="preserve"> за счет снижения уровня промышленного производства в текущем году</w:t>
      </w:r>
      <w:r w:rsidRPr="00CC5FCC">
        <w:rPr>
          <w:sz w:val="28"/>
          <w:szCs w:val="28"/>
        </w:rPr>
        <w:t xml:space="preserve">. Объём сброса загрязненных сточных вод в 2022 году  в поверхностные водные объекты снизится на 0,2% и составит 117,4 млн. куб. м. </w:t>
      </w:r>
    </w:p>
    <w:p w:rsidR="00EC0E58" w:rsidRPr="00297F37" w:rsidRDefault="00EC0E58" w:rsidP="003C18A4">
      <w:pPr>
        <w:widowControl w:val="0"/>
        <w:spacing w:line="276" w:lineRule="auto"/>
        <w:ind w:firstLine="0"/>
        <w:jc w:val="center"/>
        <w:rPr>
          <w:rFonts w:eastAsia="Calibri"/>
          <w:sz w:val="28"/>
          <w:szCs w:val="28"/>
        </w:rPr>
      </w:pPr>
      <w:r w:rsidRPr="00297F37">
        <w:rPr>
          <w:rFonts w:eastAsia="Calibri"/>
          <w:sz w:val="28"/>
          <w:szCs w:val="28"/>
        </w:rPr>
        <w:t>Ожидаемое выполнение прогнозных показателей по разделу</w:t>
      </w:r>
    </w:p>
    <w:p w:rsidR="00EC0E58" w:rsidRPr="00297F37" w:rsidRDefault="00EC0E58" w:rsidP="00EC0E58">
      <w:pPr>
        <w:widowControl w:val="0"/>
        <w:spacing w:after="120" w:line="276" w:lineRule="auto"/>
        <w:ind w:firstLine="0"/>
        <w:jc w:val="center"/>
        <w:rPr>
          <w:rFonts w:eastAsia="Calibri"/>
          <w:sz w:val="28"/>
          <w:szCs w:val="28"/>
        </w:rPr>
      </w:pPr>
      <w:r w:rsidRPr="00297F37">
        <w:rPr>
          <w:rFonts w:eastAsia="Calibri"/>
          <w:sz w:val="28"/>
          <w:szCs w:val="28"/>
        </w:rPr>
        <w:t>«Охрана окружающей среды» на 2022 год</w:t>
      </w:r>
    </w:p>
    <w:tbl>
      <w:tblPr>
        <w:tblW w:w="9357" w:type="dxa"/>
        <w:tblInd w:w="108" w:type="dxa"/>
        <w:tblLayout w:type="fixed"/>
        <w:tblLook w:val="0000" w:firstRow="0" w:lastRow="0" w:firstColumn="0" w:lastColumn="0" w:noHBand="0" w:noVBand="0"/>
      </w:tblPr>
      <w:tblGrid>
        <w:gridCol w:w="3828"/>
        <w:gridCol w:w="1276"/>
        <w:gridCol w:w="1418"/>
        <w:gridCol w:w="1417"/>
        <w:gridCol w:w="1418"/>
      </w:tblGrid>
      <w:tr w:rsidR="00EC0E58" w:rsidRPr="006561AD" w:rsidTr="00BC36B0">
        <w:trPr>
          <w:trHeight w:val="347"/>
          <w:tblHeader/>
        </w:trPr>
        <w:tc>
          <w:tcPr>
            <w:tcW w:w="3828" w:type="dxa"/>
            <w:vMerge w:val="restart"/>
            <w:tcBorders>
              <w:top w:val="single" w:sz="4" w:space="0" w:color="000000"/>
              <w:left w:val="single" w:sz="4" w:space="0" w:color="000000"/>
              <w:bottom w:val="single" w:sz="4" w:space="0" w:color="000000"/>
            </w:tcBorders>
            <w:shd w:val="clear" w:color="auto" w:fill="auto"/>
            <w:vAlign w:val="center"/>
          </w:tcPr>
          <w:p w:rsidR="00EC0E58" w:rsidRPr="00297F37" w:rsidRDefault="00EC0E58" w:rsidP="00BC36B0">
            <w:pPr>
              <w:shd w:val="clear" w:color="auto" w:fill="FFFFFF"/>
              <w:ind w:firstLine="0"/>
              <w:jc w:val="center"/>
              <w:rPr>
                <w:sz w:val="28"/>
                <w:szCs w:val="28"/>
                <w:shd w:val="clear" w:color="auto" w:fill="FFFFFF"/>
              </w:rPr>
            </w:pPr>
            <w:r w:rsidRPr="00297F37">
              <w:rPr>
                <w:sz w:val="28"/>
                <w:szCs w:val="28"/>
                <w:shd w:val="clear" w:color="auto" w:fill="FFFFFF"/>
              </w:rPr>
              <w:t>Наименование показателя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C0E58" w:rsidRPr="00297F37" w:rsidRDefault="00EC0E58" w:rsidP="00BC36B0">
            <w:pPr>
              <w:shd w:val="clear" w:color="auto" w:fill="FFFFFF"/>
              <w:ind w:firstLine="0"/>
              <w:jc w:val="center"/>
              <w:rPr>
                <w:sz w:val="28"/>
                <w:szCs w:val="28"/>
                <w:shd w:val="clear" w:color="auto" w:fill="FFFFFF"/>
              </w:rPr>
            </w:pPr>
            <w:r w:rsidRPr="00297F37">
              <w:rPr>
                <w:sz w:val="28"/>
                <w:szCs w:val="28"/>
                <w:shd w:val="clear" w:color="auto" w:fill="FFFFFF"/>
              </w:rPr>
              <w:t>Единица измере</w:t>
            </w:r>
          </w:p>
          <w:p w:rsidR="00EC0E58" w:rsidRPr="00297F37" w:rsidRDefault="00EC0E58" w:rsidP="00BC36B0">
            <w:pPr>
              <w:shd w:val="clear" w:color="auto" w:fill="FFFFFF"/>
              <w:ind w:firstLine="0"/>
              <w:jc w:val="center"/>
              <w:rPr>
                <w:sz w:val="28"/>
                <w:szCs w:val="28"/>
                <w:shd w:val="clear" w:color="auto" w:fill="FFFFFF"/>
              </w:rPr>
            </w:pPr>
            <w:r w:rsidRPr="00297F37">
              <w:rPr>
                <w:sz w:val="28"/>
                <w:szCs w:val="28"/>
                <w:shd w:val="clear" w:color="auto" w:fill="FFFFFF"/>
              </w:rPr>
              <w:t>ния</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EC0E58" w:rsidRPr="00297F37" w:rsidRDefault="00EC0E58" w:rsidP="00BC36B0">
            <w:pPr>
              <w:ind w:firstLine="0"/>
              <w:jc w:val="center"/>
              <w:rPr>
                <w:sz w:val="28"/>
                <w:szCs w:val="28"/>
              </w:rPr>
            </w:pPr>
            <w:r w:rsidRPr="00297F37">
              <w:rPr>
                <w:sz w:val="28"/>
                <w:szCs w:val="28"/>
              </w:rPr>
              <w:t>Прогноз на 2022 год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0E58" w:rsidRPr="00297F37" w:rsidRDefault="0005263D" w:rsidP="00BC36B0">
            <w:pPr>
              <w:ind w:firstLine="0"/>
              <w:jc w:val="center"/>
              <w:rPr>
                <w:sz w:val="28"/>
                <w:szCs w:val="28"/>
              </w:rPr>
            </w:pPr>
            <w:r>
              <w:rPr>
                <w:sz w:val="28"/>
                <w:szCs w:val="28"/>
              </w:rPr>
              <w:t>2022</w:t>
            </w:r>
            <w:r w:rsidR="00EC0E58" w:rsidRPr="00297F37">
              <w:rPr>
                <w:sz w:val="28"/>
                <w:szCs w:val="28"/>
              </w:rPr>
              <w:t xml:space="preserve"> год (оценка)</w:t>
            </w:r>
          </w:p>
        </w:tc>
      </w:tr>
      <w:tr w:rsidR="00EC0E58" w:rsidRPr="006561AD" w:rsidTr="00BC36B0">
        <w:trPr>
          <w:trHeight w:val="425"/>
          <w:tblHeader/>
        </w:trPr>
        <w:tc>
          <w:tcPr>
            <w:tcW w:w="3828" w:type="dxa"/>
            <w:vMerge/>
            <w:tcBorders>
              <w:top w:val="single" w:sz="4" w:space="0" w:color="000000"/>
              <w:left w:val="single" w:sz="4" w:space="0" w:color="000000"/>
              <w:bottom w:val="single" w:sz="4" w:space="0" w:color="000000"/>
            </w:tcBorders>
          </w:tcPr>
          <w:p w:rsidR="00EC0E58" w:rsidRPr="006561AD" w:rsidRDefault="00EC0E58" w:rsidP="00BC36B0">
            <w:pPr>
              <w:shd w:val="clear" w:color="auto" w:fill="FFFFFF"/>
              <w:snapToGrid w:val="0"/>
              <w:ind w:firstLine="0"/>
              <w:jc w:val="center"/>
              <w:rPr>
                <w:sz w:val="28"/>
                <w:szCs w:val="28"/>
                <w:highlight w:val="cyan"/>
                <w:shd w:val="clear" w:color="auto" w:fill="FFFFFF"/>
              </w:rPr>
            </w:pPr>
          </w:p>
        </w:tc>
        <w:tc>
          <w:tcPr>
            <w:tcW w:w="1276" w:type="dxa"/>
            <w:vMerge/>
            <w:tcBorders>
              <w:top w:val="single" w:sz="4" w:space="0" w:color="000000"/>
              <w:left w:val="single" w:sz="4" w:space="0" w:color="000000"/>
              <w:bottom w:val="single" w:sz="4" w:space="0" w:color="000000"/>
            </w:tcBorders>
          </w:tcPr>
          <w:p w:rsidR="00EC0E58" w:rsidRPr="006561AD" w:rsidRDefault="00EC0E58" w:rsidP="00BC36B0">
            <w:pPr>
              <w:shd w:val="clear" w:color="auto" w:fill="FFFFFF"/>
              <w:snapToGrid w:val="0"/>
              <w:ind w:firstLine="0"/>
              <w:jc w:val="center"/>
              <w:rPr>
                <w:sz w:val="28"/>
                <w:szCs w:val="28"/>
                <w:highlight w:val="cyan"/>
                <w:shd w:val="clear" w:color="auto" w:fill="FFFFFF"/>
              </w:rPr>
            </w:pPr>
          </w:p>
        </w:tc>
        <w:tc>
          <w:tcPr>
            <w:tcW w:w="1418" w:type="dxa"/>
            <w:tcBorders>
              <w:top w:val="single" w:sz="4" w:space="0" w:color="000000"/>
              <w:left w:val="single" w:sz="4" w:space="0" w:color="000000"/>
              <w:bottom w:val="single" w:sz="4" w:space="0" w:color="000000"/>
            </w:tcBorders>
            <w:vAlign w:val="center"/>
          </w:tcPr>
          <w:p w:rsidR="00EC0E58" w:rsidRPr="00297F37" w:rsidRDefault="00EC0E58" w:rsidP="00BC36B0">
            <w:pPr>
              <w:ind w:firstLine="0"/>
              <w:jc w:val="center"/>
              <w:rPr>
                <w:sz w:val="28"/>
                <w:szCs w:val="28"/>
              </w:rPr>
            </w:pPr>
            <w:r w:rsidRPr="00297F37">
              <w:rPr>
                <w:sz w:val="28"/>
                <w:szCs w:val="28"/>
              </w:rPr>
              <w:t>1 вариант (консервативный)</w:t>
            </w:r>
          </w:p>
        </w:tc>
        <w:tc>
          <w:tcPr>
            <w:tcW w:w="1417" w:type="dxa"/>
            <w:tcBorders>
              <w:top w:val="single" w:sz="4" w:space="0" w:color="000000"/>
              <w:left w:val="single" w:sz="4" w:space="0" w:color="000000"/>
              <w:bottom w:val="single" w:sz="4" w:space="0" w:color="000000"/>
            </w:tcBorders>
            <w:vAlign w:val="center"/>
          </w:tcPr>
          <w:p w:rsidR="00EC0E58" w:rsidRPr="00297F37" w:rsidRDefault="00EC0E58" w:rsidP="00BC36B0">
            <w:pPr>
              <w:ind w:firstLine="0"/>
              <w:jc w:val="center"/>
              <w:rPr>
                <w:sz w:val="28"/>
                <w:szCs w:val="28"/>
              </w:rPr>
            </w:pPr>
            <w:r w:rsidRPr="00297F37">
              <w:rPr>
                <w:sz w:val="28"/>
                <w:szCs w:val="28"/>
              </w:rPr>
              <w:t>2 вариант</w:t>
            </w:r>
          </w:p>
          <w:p w:rsidR="00EC0E58" w:rsidRPr="00297F37" w:rsidRDefault="00EC0E58" w:rsidP="00BC36B0">
            <w:pPr>
              <w:ind w:firstLine="0"/>
              <w:jc w:val="center"/>
              <w:rPr>
                <w:sz w:val="28"/>
                <w:szCs w:val="28"/>
              </w:rPr>
            </w:pPr>
            <w:r w:rsidRPr="00297F37">
              <w:rPr>
                <w:sz w:val="28"/>
                <w:szCs w:val="28"/>
              </w:rPr>
              <w:t>(базовый)</w:t>
            </w:r>
          </w:p>
        </w:tc>
        <w:tc>
          <w:tcPr>
            <w:tcW w:w="1418" w:type="dxa"/>
            <w:vMerge/>
            <w:tcBorders>
              <w:top w:val="single" w:sz="4" w:space="0" w:color="000000"/>
              <w:left w:val="single" w:sz="4" w:space="0" w:color="000000"/>
              <w:bottom w:val="single" w:sz="4" w:space="0" w:color="000000"/>
              <w:right w:val="single" w:sz="4" w:space="0" w:color="000000"/>
            </w:tcBorders>
          </w:tcPr>
          <w:p w:rsidR="00EC0E58" w:rsidRPr="006561AD" w:rsidRDefault="00EC0E58" w:rsidP="00BC36B0">
            <w:pPr>
              <w:shd w:val="clear" w:color="auto" w:fill="FFFFFF"/>
              <w:snapToGrid w:val="0"/>
              <w:ind w:firstLine="0"/>
              <w:jc w:val="center"/>
              <w:rPr>
                <w:sz w:val="28"/>
                <w:szCs w:val="28"/>
                <w:highlight w:val="cyan"/>
                <w:shd w:val="clear" w:color="auto" w:fill="FFFFFF"/>
              </w:rPr>
            </w:pPr>
          </w:p>
        </w:tc>
      </w:tr>
      <w:tr w:rsidR="00EC0E58" w:rsidRPr="00297F37" w:rsidTr="00BC36B0">
        <w:tc>
          <w:tcPr>
            <w:tcW w:w="3828" w:type="dxa"/>
            <w:tcBorders>
              <w:top w:val="single" w:sz="4" w:space="0" w:color="000000"/>
              <w:left w:val="single" w:sz="4" w:space="0" w:color="000000"/>
              <w:bottom w:val="single" w:sz="4" w:space="0" w:color="000000"/>
            </w:tcBorders>
          </w:tcPr>
          <w:p w:rsidR="00EC0E58" w:rsidRPr="00297F37" w:rsidRDefault="00EC0E58" w:rsidP="00BC36B0">
            <w:pPr>
              <w:shd w:val="clear" w:color="auto" w:fill="FFFFFF"/>
              <w:ind w:firstLine="0"/>
              <w:jc w:val="left"/>
              <w:rPr>
                <w:sz w:val="28"/>
                <w:szCs w:val="28"/>
                <w:shd w:val="clear" w:color="auto" w:fill="FFFFFF"/>
              </w:rPr>
            </w:pPr>
            <w:bookmarkStart w:id="17" w:name="_Hlk52449747"/>
            <w:r w:rsidRPr="00297F37">
              <w:rPr>
                <w:sz w:val="28"/>
                <w:szCs w:val="28"/>
                <w:shd w:val="clear" w:color="auto" w:fill="FFFFFF"/>
              </w:rPr>
              <w:t>Объем вредных веществ, выбрасываемых в атмосферный воздух стационарными источниками загрязнения</w:t>
            </w:r>
            <w:bookmarkEnd w:id="17"/>
          </w:p>
        </w:tc>
        <w:tc>
          <w:tcPr>
            <w:tcW w:w="1276" w:type="dxa"/>
            <w:tcBorders>
              <w:top w:val="single" w:sz="4" w:space="0" w:color="000000"/>
              <w:left w:val="single" w:sz="4" w:space="0" w:color="000000"/>
              <w:bottom w:val="single" w:sz="4" w:space="0" w:color="000000"/>
            </w:tcBorders>
            <w:vAlign w:val="center"/>
          </w:tcPr>
          <w:p w:rsidR="00EC0E58" w:rsidRPr="00297F37" w:rsidRDefault="00EC0E58" w:rsidP="00BC36B0">
            <w:pPr>
              <w:shd w:val="clear" w:color="auto" w:fill="FFFFFF"/>
              <w:ind w:firstLine="0"/>
              <w:jc w:val="center"/>
              <w:rPr>
                <w:sz w:val="28"/>
                <w:szCs w:val="28"/>
                <w:shd w:val="clear" w:color="auto" w:fill="FFFFFF"/>
              </w:rPr>
            </w:pPr>
            <w:r w:rsidRPr="00297F37">
              <w:rPr>
                <w:sz w:val="28"/>
                <w:szCs w:val="28"/>
                <w:shd w:val="clear" w:color="auto" w:fill="FFFFFF"/>
              </w:rPr>
              <w:t>тыс. тонн</w:t>
            </w:r>
          </w:p>
        </w:tc>
        <w:tc>
          <w:tcPr>
            <w:tcW w:w="1418" w:type="dxa"/>
            <w:tcBorders>
              <w:top w:val="single" w:sz="4" w:space="0" w:color="000000"/>
              <w:left w:val="single" w:sz="4" w:space="0" w:color="000000"/>
              <w:bottom w:val="single" w:sz="4" w:space="0" w:color="000000"/>
            </w:tcBorders>
            <w:vAlign w:val="center"/>
          </w:tcPr>
          <w:p w:rsidR="00EC0E58" w:rsidRPr="00297F37" w:rsidRDefault="00EC0E58" w:rsidP="00BC36B0">
            <w:pPr>
              <w:shd w:val="clear" w:color="auto" w:fill="FFFFFF"/>
              <w:spacing w:line="276" w:lineRule="auto"/>
              <w:ind w:firstLine="0"/>
              <w:jc w:val="center"/>
              <w:rPr>
                <w:sz w:val="28"/>
                <w:szCs w:val="28"/>
                <w:shd w:val="clear" w:color="auto" w:fill="FFFFFF"/>
                <w:lang w:val="en-US"/>
              </w:rPr>
            </w:pPr>
            <w:r w:rsidRPr="00297F37">
              <w:rPr>
                <w:sz w:val="28"/>
                <w:szCs w:val="28"/>
                <w:shd w:val="clear" w:color="auto" w:fill="FFFFFF"/>
              </w:rPr>
              <w:t>28,8</w:t>
            </w:r>
          </w:p>
        </w:tc>
        <w:tc>
          <w:tcPr>
            <w:tcW w:w="1417" w:type="dxa"/>
            <w:tcBorders>
              <w:top w:val="single" w:sz="4" w:space="0" w:color="000000"/>
              <w:left w:val="single" w:sz="4" w:space="0" w:color="000000"/>
              <w:bottom w:val="single" w:sz="4" w:space="0" w:color="000000"/>
            </w:tcBorders>
            <w:vAlign w:val="center"/>
          </w:tcPr>
          <w:p w:rsidR="00EC0E58" w:rsidRPr="00297F37" w:rsidRDefault="00EC0E58" w:rsidP="00BC36B0">
            <w:pPr>
              <w:shd w:val="clear" w:color="auto" w:fill="FFFFFF"/>
              <w:spacing w:line="276" w:lineRule="auto"/>
              <w:ind w:firstLine="0"/>
              <w:jc w:val="center"/>
              <w:rPr>
                <w:sz w:val="28"/>
                <w:szCs w:val="28"/>
                <w:shd w:val="clear" w:color="auto" w:fill="FFFFFF"/>
              </w:rPr>
            </w:pPr>
            <w:r w:rsidRPr="00297F37">
              <w:rPr>
                <w:sz w:val="28"/>
                <w:szCs w:val="28"/>
                <w:shd w:val="clear" w:color="auto" w:fill="FFFFFF"/>
              </w:rPr>
              <w:t>28,7</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297F37" w:rsidRDefault="00EC0E58" w:rsidP="00BC36B0">
            <w:pPr>
              <w:shd w:val="clear" w:color="auto" w:fill="FFFFFF"/>
              <w:spacing w:line="276" w:lineRule="auto"/>
              <w:ind w:firstLine="0"/>
              <w:jc w:val="center"/>
              <w:rPr>
                <w:sz w:val="28"/>
                <w:szCs w:val="28"/>
                <w:shd w:val="clear" w:color="auto" w:fill="FFFFFF"/>
              </w:rPr>
            </w:pPr>
            <w:r w:rsidRPr="00297F37">
              <w:rPr>
                <w:sz w:val="28"/>
                <w:szCs w:val="28"/>
                <w:shd w:val="clear" w:color="auto" w:fill="FFFFFF"/>
              </w:rPr>
              <w:t>31,6</w:t>
            </w:r>
          </w:p>
        </w:tc>
      </w:tr>
      <w:tr w:rsidR="00EC0E58" w:rsidRPr="006561AD" w:rsidTr="00BC36B0">
        <w:tc>
          <w:tcPr>
            <w:tcW w:w="3828" w:type="dxa"/>
            <w:tcBorders>
              <w:top w:val="single" w:sz="4" w:space="0" w:color="000000"/>
              <w:left w:val="single" w:sz="4" w:space="0" w:color="000000"/>
              <w:bottom w:val="single" w:sz="4" w:space="0" w:color="000000"/>
            </w:tcBorders>
          </w:tcPr>
          <w:p w:rsidR="00EC0E58" w:rsidRPr="00297F37" w:rsidRDefault="00EC0E58" w:rsidP="00BC36B0">
            <w:pPr>
              <w:shd w:val="clear" w:color="auto" w:fill="FFFFFF"/>
              <w:ind w:firstLine="0"/>
              <w:jc w:val="left"/>
              <w:rPr>
                <w:sz w:val="28"/>
                <w:szCs w:val="28"/>
                <w:shd w:val="clear" w:color="auto" w:fill="FFFFFF"/>
              </w:rPr>
            </w:pPr>
            <w:r w:rsidRPr="00297F37">
              <w:rPr>
                <w:sz w:val="28"/>
                <w:szCs w:val="28"/>
                <w:shd w:val="clear" w:color="auto" w:fill="FFFFFF"/>
              </w:rPr>
              <w:t>Объем сброса загрязнений сточных вод в поверхностные водные объекты</w:t>
            </w:r>
          </w:p>
        </w:tc>
        <w:tc>
          <w:tcPr>
            <w:tcW w:w="1276" w:type="dxa"/>
            <w:tcBorders>
              <w:top w:val="single" w:sz="4" w:space="0" w:color="000000"/>
              <w:left w:val="single" w:sz="4" w:space="0" w:color="000000"/>
              <w:bottom w:val="single" w:sz="4" w:space="0" w:color="000000"/>
            </w:tcBorders>
            <w:vAlign w:val="center"/>
          </w:tcPr>
          <w:p w:rsidR="00EC0E58" w:rsidRPr="00297F37" w:rsidRDefault="00EC0E58" w:rsidP="00BC36B0">
            <w:pPr>
              <w:shd w:val="clear" w:color="auto" w:fill="FFFFFF"/>
              <w:spacing w:line="276" w:lineRule="auto"/>
              <w:ind w:firstLine="0"/>
              <w:jc w:val="center"/>
              <w:rPr>
                <w:sz w:val="28"/>
                <w:szCs w:val="28"/>
                <w:shd w:val="clear" w:color="auto" w:fill="FFFFFF"/>
              </w:rPr>
            </w:pPr>
            <w:r w:rsidRPr="00297F37">
              <w:rPr>
                <w:sz w:val="28"/>
                <w:szCs w:val="28"/>
                <w:shd w:val="clear" w:color="auto" w:fill="FFFFFF"/>
              </w:rPr>
              <w:t>тыс. куб.</w:t>
            </w:r>
            <w:r w:rsidR="00A42679">
              <w:rPr>
                <w:sz w:val="28"/>
                <w:szCs w:val="28"/>
                <w:shd w:val="clear" w:color="auto" w:fill="FFFFFF"/>
              </w:rPr>
              <w:t xml:space="preserve"> </w:t>
            </w:r>
            <w:r w:rsidRPr="00297F37">
              <w:rPr>
                <w:sz w:val="28"/>
                <w:szCs w:val="28"/>
                <w:shd w:val="clear" w:color="auto" w:fill="FFFFFF"/>
              </w:rPr>
              <w:t>м</w:t>
            </w:r>
          </w:p>
        </w:tc>
        <w:tc>
          <w:tcPr>
            <w:tcW w:w="1418" w:type="dxa"/>
            <w:tcBorders>
              <w:top w:val="single" w:sz="4" w:space="0" w:color="000000"/>
              <w:left w:val="single" w:sz="4" w:space="0" w:color="000000"/>
              <w:bottom w:val="single" w:sz="4" w:space="0" w:color="000000"/>
            </w:tcBorders>
            <w:vAlign w:val="center"/>
          </w:tcPr>
          <w:p w:rsidR="00EC0E58" w:rsidRPr="006561AD" w:rsidRDefault="00EC0E58" w:rsidP="00BC36B0">
            <w:pPr>
              <w:shd w:val="clear" w:color="auto" w:fill="FFFFFF"/>
              <w:spacing w:line="276" w:lineRule="auto"/>
              <w:ind w:firstLine="0"/>
              <w:jc w:val="center"/>
              <w:rPr>
                <w:sz w:val="28"/>
                <w:szCs w:val="28"/>
                <w:highlight w:val="cyan"/>
                <w:shd w:val="clear" w:color="auto" w:fill="FFFFFF"/>
              </w:rPr>
            </w:pPr>
            <w:r w:rsidRPr="00297F37">
              <w:rPr>
                <w:sz w:val="28"/>
                <w:szCs w:val="28"/>
                <w:shd w:val="clear" w:color="auto" w:fill="FFFFFF"/>
              </w:rPr>
              <w:t>114</w:t>
            </w:r>
            <w:r>
              <w:rPr>
                <w:sz w:val="28"/>
                <w:szCs w:val="28"/>
                <w:shd w:val="clear" w:color="auto" w:fill="FFFFFF"/>
              </w:rPr>
              <w:t xml:space="preserve"> </w:t>
            </w:r>
            <w:r w:rsidRPr="00297F37">
              <w:rPr>
                <w:sz w:val="28"/>
                <w:szCs w:val="28"/>
                <w:shd w:val="clear" w:color="auto" w:fill="FFFFFF"/>
              </w:rPr>
              <w:t>449,4</w:t>
            </w:r>
          </w:p>
        </w:tc>
        <w:tc>
          <w:tcPr>
            <w:tcW w:w="1417" w:type="dxa"/>
            <w:tcBorders>
              <w:top w:val="single" w:sz="4" w:space="0" w:color="000000"/>
              <w:left w:val="single" w:sz="4" w:space="0" w:color="000000"/>
              <w:bottom w:val="single" w:sz="4" w:space="0" w:color="000000"/>
            </w:tcBorders>
            <w:vAlign w:val="center"/>
          </w:tcPr>
          <w:p w:rsidR="00EC0E58" w:rsidRPr="006561AD" w:rsidRDefault="00EC0E58" w:rsidP="00BC36B0">
            <w:pPr>
              <w:shd w:val="clear" w:color="auto" w:fill="FFFFFF"/>
              <w:spacing w:line="276" w:lineRule="auto"/>
              <w:ind w:firstLine="0"/>
              <w:jc w:val="center"/>
              <w:rPr>
                <w:sz w:val="28"/>
                <w:szCs w:val="28"/>
                <w:highlight w:val="cyan"/>
                <w:shd w:val="clear" w:color="auto" w:fill="FFFFFF"/>
              </w:rPr>
            </w:pPr>
            <w:r w:rsidRPr="00297F37">
              <w:rPr>
                <w:sz w:val="28"/>
                <w:szCs w:val="28"/>
                <w:shd w:val="clear" w:color="auto" w:fill="FFFFFF"/>
              </w:rPr>
              <w:t>113</w:t>
            </w:r>
            <w:r>
              <w:rPr>
                <w:sz w:val="28"/>
                <w:szCs w:val="28"/>
                <w:shd w:val="clear" w:color="auto" w:fill="FFFFFF"/>
              </w:rPr>
              <w:t xml:space="preserve"> </w:t>
            </w:r>
            <w:r w:rsidRPr="00297F37">
              <w:rPr>
                <w:sz w:val="28"/>
                <w:szCs w:val="28"/>
                <w:shd w:val="clear" w:color="auto" w:fill="FFFFFF"/>
              </w:rPr>
              <w:t>877,2</w:t>
            </w:r>
          </w:p>
        </w:tc>
        <w:tc>
          <w:tcPr>
            <w:tcW w:w="1418" w:type="dxa"/>
            <w:tcBorders>
              <w:top w:val="single" w:sz="4" w:space="0" w:color="000000"/>
              <w:left w:val="single" w:sz="4" w:space="0" w:color="000000"/>
              <w:bottom w:val="single" w:sz="4" w:space="0" w:color="000000"/>
              <w:right w:val="single" w:sz="4" w:space="0" w:color="000000"/>
            </w:tcBorders>
            <w:vAlign w:val="center"/>
          </w:tcPr>
          <w:p w:rsidR="00EC0E58" w:rsidRPr="006561AD" w:rsidRDefault="00EC0E58" w:rsidP="00BC36B0">
            <w:pPr>
              <w:shd w:val="clear" w:color="auto" w:fill="FFFFFF"/>
              <w:spacing w:line="276" w:lineRule="auto"/>
              <w:ind w:firstLine="0"/>
              <w:jc w:val="center"/>
              <w:rPr>
                <w:sz w:val="28"/>
                <w:szCs w:val="28"/>
                <w:highlight w:val="cyan"/>
                <w:shd w:val="clear" w:color="auto" w:fill="FFFFFF"/>
              </w:rPr>
            </w:pPr>
            <w:r w:rsidRPr="00297F37">
              <w:rPr>
                <w:sz w:val="28"/>
                <w:szCs w:val="28"/>
                <w:shd w:val="clear" w:color="auto" w:fill="FFFFFF"/>
              </w:rPr>
              <w:t>117</w:t>
            </w:r>
            <w:r>
              <w:rPr>
                <w:sz w:val="28"/>
                <w:szCs w:val="28"/>
                <w:shd w:val="clear" w:color="auto" w:fill="FFFFFF"/>
              </w:rPr>
              <w:t xml:space="preserve"> </w:t>
            </w:r>
            <w:r w:rsidRPr="00297F37">
              <w:rPr>
                <w:sz w:val="28"/>
                <w:szCs w:val="28"/>
                <w:shd w:val="clear" w:color="auto" w:fill="FFFFFF"/>
              </w:rPr>
              <w:t>417,9</w:t>
            </w:r>
          </w:p>
        </w:tc>
      </w:tr>
    </w:tbl>
    <w:p w:rsidR="003C18A4" w:rsidRDefault="003C18A4" w:rsidP="00EC0E58">
      <w:pPr>
        <w:widowControl w:val="0"/>
        <w:spacing w:line="276" w:lineRule="auto"/>
        <w:rPr>
          <w:rFonts w:eastAsia="Calibri"/>
          <w:sz w:val="28"/>
          <w:szCs w:val="28"/>
        </w:rPr>
      </w:pPr>
    </w:p>
    <w:p w:rsidR="00EC0E58" w:rsidRPr="006561AD" w:rsidRDefault="00EC0E58" w:rsidP="00EC0E58">
      <w:pPr>
        <w:widowControl w:val="0"/>
        <w:spacing w:line="276" w:lineRule="auto"/>
        <w:rPr>
          <w:rFonts w:eastAsia="Calibri"/>
          <w:sz w:val="28"/>
          <w:szCs w:val="28"/>
          <w:highlight w:val="cyan"/>
        </w:rPr>
      </w:pPr>
      <w:r w:rsidRPr="00297F37">
        <w:rPr>
          <w:rFonts w:eastAsia="Calibri"/>
          <w:sz w:val="28"/>
          <w:szCs w:val="28"/>
        </w:rPr>
        <w:t xml:space="preserve">Корректировка значения </w:t>
      </w:r>
      <w:r>
        <w:rPr>
          <w:rFonts w:eastAsia="Calibri"/>
          <w:sz w:val="28"/>
          <w:szCs w:val="28"/>
        </w:rPr>
        <w:t>показателей</w:t>
      </w:r>
      <w:r w:rsidRPr="00297F37">
        <w:rPr>
          <w:rFonts w:eastAsia="Calibri"/>
          <w:sz w:val="28"/>
          <w:szCs w:val="28"/>
        </w:rPr>
        <w:t xml:space="preserve"> «</w:t>
      </w:r>
      <w:r w:rsidRPr="00297F37">
        <w:rPr>
          <w:sz w:val="28"/>
          <w:szCs w:val="28"/>
          <w:shd w:val="clear" w:color="auto" w:fill="FFFFFF"/>
        </w:rPr>
        <w:t xml:space="preserve">Объем вредных веществ, выбрасываемых в атмосферный воздух стационарными источниками загрязнения» </w:t>
      </w:r>
      <w:r>
        <w:rPr>
          <w:sz w:val="28"/>
          <w:szCs w:val="28"/>
          <w:shd w:val="clear" w:color="auto" w:fill="FFFFFF"/>
        </w:rPr>
        <w:t xml:space="preserve"> и «</w:t>
      </w:r>
      <w:r w:rsidRPr="00297F37">
        <w:rPr>
          <w:sz w:val="28"/>
          <w:szCs w:val="28"/>
          <w:shd w:val="clear" w:color="auto" w:fill="FFFFFF"/>
        </w:rPr>
        <w:t>Объем сброса загрязнений сточных вод в поверхностные водные объекты</w:t>
      </w:r>
      <w:r>
        <w:rPr>
          <w:sz w:val="28"/>
          <w:szCs w:val="28"/>
          <w:shd w:val="clear" w:color="auto" w:fill="FFFFFF"/>
        </w:rPr>
        <w:t>»</w:t>
      </w:r>
      <w:r w:rsidRPr="00297F37">
        <w:rPr>
          <w:sz w:val="28"/>
          <w:szCs w:val="28"/>
          <w:shd w:val="clear" w:color="auto" w:fill="FFFFFF"/>
        </w:rPr>
        <w:t xml:space="preserve"> </w:t>
      </w:r>
      <w:r w:rsidR="00F96937">
        <w:rPr>
          <w:sz w:val="28"/>
          <w:szCs w:val="28"/>
          <w:shd w:val="clear" w:color="auto" w:fill="FFFFFF"/>
        </w:rPr>
        <w:t xml:space="preserve">на 2022 год </w:t>
      </w:r>
      <w:r>
        <w:rPr>
          <w:sz w:val="28"/>
          <w:szCs w:val="28"/>
          <w:shd w:val="clear" w:color="auto" w:fill="FFFFFF"/>
        </w:rPr>
        <w:t>по сравнению</w:t>
      </w:r>
      <w:r w:rsidRPr="00297F37">
        <w:rPr>
          <w:sz w:val="28"/>
          <w:szCs w:val="28"/>
          <w:shd w:val="clear" w:color="auto" w:fill="FFFFFF"/>
        </w:rPr>
        <w:t xml:space="preserve"> с прогнозом прошлого года связана с </w:t>
      </w:r>
      <w:r w:rsidR="00F96937">
        <w:rPr>
          <w:sz w:val="28"/>
          <w:szCs w:val="28"/>
          <w:shd w:val="clear" w:color="auto" w:fill="FFFFFF"/>
        </w:rPr>
        <w:t>более высокими фактическими значениями показателей</w:t>
      </w:r>
      <w:r w:rsidRPr="00297F37">
        <w:rPr>
          <w:sz w:val="28"/>
          <w:szCs w:val="28"/>
          <w:shd w:val="clear" w:color="auto" w:fill="FFFFFF"/>
        </w:rPr>
        <w:t xml:space="preserve">, </w:t>
      </w:r>
      <w:r w:rsidR="00F96937">
        <w:rPr>
          <w:sz w:val="28"/>
          <w:szCs w:val="28"/>
          <w:shd w:val="clear" w:color="auto" w:fill="FFFFFF"/>
        </w:rPr>
        <w:t xml:space="preserve">которые сложились </w:t>
      </w:r>
      <w:r w:rsidRPr="00297F37">
        <w:rPr>
          <w:sz w:val="28"/>
          <w:szCs w:val="28"/>
          <w:shd w:val="clear" w:color="auto" w:fill="FFFFFF"/>
        </w:rPr>
        <w:t>за 202</w:t>
      </w:r>
      <w:r>
        <w:rPr>
          <w:sz w:val="28"/>
          <w:szCs w:val="28"/>
          <w:shd w:val="clear" w:color="auto" w:fill="FFFFFF"/>
        </w:rPr>
        <w:t>1</w:t>
      </w:r>
      <w:r w:rsidRPr="00297F37">
        <w:rPr>
          <w:sz w:val="28"/>
          <w:szCs w:val="28"/>
          <w:shd w:val="clear" w:color="auto" w:fill="FFFFFF"/>
        </w:rPr>
        <w:t xml:space="preserve"> год </w:t>
      </w:r>
      <w:r w:rsidR="00F96937">
        <w:rPr>
          <w:sz w:val="28"/>
          <w:szCs w:val="28"/>
          <w:shd w:val="clear" w:color="auto" w:fill="FFFFFF"/>
        </w:rPr>
        <w:t xml:space="preserve">и повлияли на дальнейшую динамику </w:t>
      </w:r>
      <w:r w:rsidRPr="000B2C9B">
        <w:rPr>
          <w:sz w:val="28"/>
          <w:szCs w:val="28"/>
          <w:shd w:val="clear" w:color="auto" w:fill="FFFFFF"/>
        </w:rPr>
        <w:t>(32,4 тыс. тонн вместо ожидаемых 28,5 тыс. тонн</w:t>
      </w:r>
      <w:r>
        <w:rPr>
          <w:sz w:val="28"/>
          <w:szCs w:val="28"/>
          <w:shd w:val="clear" w:color="auto" w:fill="FFFFFF"/>
        </w:rPr>
        <w:t xml:space="preserve"> и 117,6 млн. куб. м вместо ожидаемых 114,6 млн. куб. м</w:t>
      </w:r>
      <w:r w:rsidRPr="000B2C9B">
        <w:rPr>
          <w:sz w:val="28"/>
          <w:szCs w:val="28"/>
          <w:shd w:val="clear" w:color="auto" w:fill="FFFFFF"/>
        </w:rPr>
        <w:t>)</w:t>
      </w:r>
      <w:r w:rsidRPr="005F00E6">
        <w:rPr>
          <w:rFonts w:eastAsia="Calibri"/>
          <w:sz w:val="28"/>
          <w:szCs w:val="28"/>
        </w:rPr>
        <w:t>.</w:t>
      </w:r>
      <w:r>
        <w:rPr>
          <w:rFonts w:eastAsia="Calibri"/>
          <w:sz w:val="28"/>
          <w:szCs w:val="28"/>
        </w:rPr>
        <w:t xml:space="preserve">                                                                                                                                                                                                                                                                                                                                                                                                   </w:t>
      </w:r>
    </w:p>
    <w:p w:rsidR="00562DC3" w:rsidRDefault="00562DC3" w:rsidP="0048723E">
      <w:pPr>
        <w:widowControl w:val="0"/>
        <w:ind w:firstLine="0"/>
        <w:rPr>
          <w:rFonts w:eastAsia="Calibri"/>
          <w:sz w:val="28"/>
          <w:szCs w:val="28"/>
        </w:rPr>
      </w:pPr>
    </w:p>
    <w:p w:rsidR="003C18A4" w:rsidRDefault="003C18A4" w:rsidP="0048723E">
      <w:pPr>
        <w:widowControl w:val="0"/>
        <w:ind w:firstLine="0"/>
        <w:rPr>
          <w:rFonts w:eastAsia="Calibri"/>
          <w:sz w:val="28"/>
          <w:szCs w:val="28"/>
        </w:rPr>
      </w:pPr>
    </w:p>
    <w:p w:rsidR="00552507" w:rsidRPr="008253D3" w:rsidRDefault="00074159" w:rsidP="0048723E">
      <w:pPr>
        <w:widowControl w:val="0"/>
        <w:ind w:firstLine="0"/>
        <w:rPr>
          <w:rFonts w:eastAsia="Calibri"/>
          <w:sz w:val="28"/>
          <w:szCs w:val="28"/>
        </w:rPr>
      </w:pPr>
      <w:r w:rsidRPr="008253D3">
        <w:rPr>
          <w:rFonts w:eastAsia="Calibri"/>
          <w:sz w:val="28"/>
          <w:szCs w:val="28"/>
        </w:rPr>
        <w:t>Р</w:t>
      </w:r>
      <w:r w:rsidR="00552507" w:rsidRPr="008253D3">
        <w:rPr>
          <w:rFonts w:eastAsia="Calibri"/>
          <w:sz w:val="28"/>
          <w:szCs w:val="28"/>
        </w:rPr>
        <w:t>уководител</w:t>
      </w:r>
      <w:r w:rsidR="005319C7" w:rsidRPr="008253D3">
        <w:rPr>
          <w:rFonts w:eastAsia="Calibri"/>
          <w:sz w:val="28"/>
          <w:szCs w:val="28"/>
        </w:rPr>
        <w:t>ь</w:t>
      </w:r>
      <w:r w:rsidR="00552507" w:rsidRPr="008253D3">
        <w:rPr>
          <w:rFonts w:eastAsia="Calibri"/>
          <w:sz w:val="28"/>
          <w:szCs w:val="28"/>
        </w:rPr>
        <w:t xml:space="preserve"> департамента </w:t>
      </w:r>
    </w:p>
    <w:p w:rsidR="00C40086" w:rsidRPr="008253D3" w:rsidRDefault="00B659B4" w:rsidP="00FF61B0">
      <w:pPr>
        <w:widowControl w:val="0"/>
        <w:tabs>
          <w:tab w:val="left" w:pos="8080"/>
        </w:tabs>
        <w:ind w:firstLine="0"/>
        <w:rPr>
          <w:rFonts w:eastAsia="Calibri"/>
          <w:sz w:val="28"/>
          <w:szCs w:val="28"/>
        </w:rPr>
      </w:pPr>
      <w:r>
        <w:rPr>
          <w:rFonts w:eastAsia="Calibri"/>
          <w:sz w:val="28"/>
          <w:szCs w:val="28"/>
        </w:rPr>
        <w:t>э</w:t>
      </w:r>
      <w:r w:rsidR="00552507" w:rsidRPr="008253D3">
        <w:rPr>
          <w:rFonts w:eastAsia="Calibri"/>
          <w:sz w:val="28"/>
          <w:szCs w:val="28"/>
        </w:rPr>
        <w:t>кономического</w:t>
      </w:r>
      <w:r>
        <w:rPr>
          <w:rFonts w:eastAsia="Calibri"/>
          <w:sz w:val="28"/>
          <w:szCs w:val="28"/>
        </w:rPr>
        <w:t xml:space="preserve"> </w:t>
      </w:r>
      <w:r w:rsidR="00552507" w:rsidRPr="008253D3">
        <w:rPr>
          <w:rFonts w:eastAsia="Calibri"/>
          <w:sz w:val="28"/>
          <w:szCs w:val="28"/>
        </w:rPr>
        <w:t>развития</w:t>
      </w:r>
      <w:r>
        <w:rPr>
          <w:rFonts w:eastAsia="Calibri"/>
          <w:sz w:val="28"/>
          <w:szCs w:val="28"/>
        </w:rPr>
        <w:t xml:space="preserve">                                                               </w:t>
      </w:r>
      <w:r w:rsidR="00890AA8">
        <w:rPr>
          <w:rFonts w:eastAsia="Calibri"/>
          <w:sz w:val="28"/>
          <w:szCs w:val="28"/>
        </w:rPr>
        <w:t>И.М. Потапова</w:t>
      </w:r>
    </w:p>
    <w:p w:rsidR="003C18A4" w:rsidRDefault="003C18A4" w:rsidP="0048723E">
      <w:pPr>
        <w:widowControl w:val="0"/>
        <w:ind w:firstLine="0"/>
        <w:rPr>
          <w:rFonts w:eastAsia="Calibri"/>
          <w:szCs w:val="24"/>
        </w:rPr>
      </w:pPr>
    </w:p>
    <w:p w:rsidR="00A50BA4" w:rsidRPr="00B659B4" w:rsidRDefault="00A1310C" w:rsidP="0048723E">
      <w:pPr>
        <w:widowControl w:val="0"/>
        <w:ind w:firstLine="0"/>
        <w:rPr>
          <w:szCs w:val="24"/>
        </w:rPr>
      </w:pPr>
      <w:r w:rsidRPr="00B659B4">
        <w:rPr>
          <w:rFonts w:eastAsia="Calibri"/>
          <w:szCs w:val="24"/>
        </w:rPr>
        <w:t>Кончева Н.В.</w:t>
      </w:r>
      <w:r w:rsidR="005F638D" w:rsidRPr="00B659B4">
        <w:rPr>
          <w:rFonts w:eastAsia="Calibri"/>
          <w:szCs w:val="24"/>
        </w:rPr>
        <w:t>, 54-32-76</w:t>
      </w:r>
    </w:p>
    <w:sectPr w:rsidR="00A50BA4" w:rsidRPr="00B659B4" w:rsidSect="00792212">
      <w:headerReference w:type="default" r:id="rId11"/>
      <w:pgSz w:w="11906" w:h="16838"/>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68" w:rsidRDefault="005E6568">
      <w:r>
        <w:separator/>
      </w:r>
    </w:p>
  </w:endnote>
  <w:endnote w:type="continuationSeparator" w:id="0">
    <w:p w:rsidR="005E6568" w:rsidRDefault="005E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variable"/>
    <w:sig w:usb0="00000001" w:usb1="5000205B" w:usb2="0000002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68" w:rsidRDefault="005E6568">
      <w:r>
        <w:separator/>
      </w:r>
    </w:p>
  </w:footnote>
  <w:footnote w:type="continuationSeparator" w:id="0">
    <w:p w:rsidR="005E6568" w:rsidRDefault="005E6568">
      <w:r>
        <w:continuationSeparator/>
      </w:r>
    </w:p>
  </w:footnote>
  <w:footnote w:id="1">
    <w:p w:rsidR="005E6568" w:rsidRPr="00C13E7E" w:rsidRDefault="005E6568" w:rsidP="00961AC6">
      <w:pPr>
        <w:pStyle w:val="aff"/>
        <w:rPr>
          <w:sz w:val="18"/>
          <w:szCs w:val="18"/>
        </w:rPr>
      </w:pPr>
      <w:r w:rsidRPr="00C13E7E">
        <w:rPr>
          <w:rStyle w:val="affb"/>
          <w:sz w:val="18"/>
          <w:szCs w:val="18"/>
        </w:rPr>
        <w:footnoteRef/>
      </w:r>
      <w:r w:rsidRPr="00C13E7E">
        <w:rPr>
          <w:sz w:val="18"/>
          <w:szCs w:val="18"/>
        </w:rPr>
        <w:t xml:space="preserve"> http://economy.samregion.ru/activity/mun_razv/reitingi/gorodskie-okruga/.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68" w:rsidRDefault="005E6568">
    <w:pPr>
      <w:pStyle w:val="af7"/>
      <w:jc w:val="center"/>
    </w:pPr>
    <w:r>
      <w:rPr>
        <w:noProof/>
      </w:rPr>
      <w:fldChar w:fldCharType="begin"/>
    </w:r>
    <w:r>
      <w:rPr>
        <w:noProof/>
      </w:rPr>
      <w:instrText xml:space="preserve"> PAGE </w:instrText>
    </w:r>
    <w:r>
      <w:rPr>
        <w:noProof/>
      </w:rPr>
      <w:fldChar w:fldCharType="separate"/>
    </w:r>
    <w:r w:rsidR="008E04CA">
      <w:rPr>
        <w:noProof/>
      </w:rPr>
      <w:t>85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B"/>
    <w:multiLevelType w:val="singleLevel"/>
    <w:tmpl w:val="0000000B"/>
    <w:name w:val="WW8Num20"/>
    <w:lvl w:ilvl="0">
      <w:start w:val="1"/>
      <w:numFmt w:val="bullet"/>
      <w:lvlText w:val=""/>
      <w:lvlJc w:val="left"/>
      <w:pPr>
        <w:tabs>
          <w:tab w:val="num" w:pos="-180"/>
        </w:tabs>
        <w:ind w:left="180" w:hanging="360"/>
      </w:pPr>
      <w:rPr>
        <w:rFonts w:ascii="Symbol" w:hAnsi="Symbol" w:cs="Symbol"/>
      </w:rPr>
    </w:lvl>
  </w:abstractNum>
  <w:abstractNum w:abstractNumId="4" w15:restartNumberingAfterBreak="0">
    <w:nsid w:val="069A6F1D"/>
    <w:multiLevelType w:val="hybridMultilevel"/>
    <w:tmpl w:val="7454473C"/>
    <w:lvl w:ilvl="0" w:tplc="77628C3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530EEE"/>
    <w:multiLevelType w:val="hybridMultilevel"/>
    <w:tmpl w:val="9000DC68"/>
    <w:lvl w:ilvl="0" w:tplc="1BEC7E02">
      <w:start w:val="4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9605F1"/>
    <w:multiLevelType w:val="hybridMultilevel"/>
    <w:tmpl w:val="A47E0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1631D"/>
    <w:multiLevelType w:val="hybridMultilevel"/>
    <w:tmpl w:val="D222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746F4"/>
    <w:multiLevelType w:val="hybridMultilevel"/>
    <w:tmpl w:val="CA0E289E"/>
    <w:lvl w:ilvl="0" w:tplc="3DF8BF70">
      <w:start w:val="1"/>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54B4E1C"/>
    <w:multiLevelType w:val="hybridMultilevel"/>
    <w:tmpl w:val="7A2EA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F2D36"/>
    <w:multiLevelType w:val="hybridMultilevel"/>
    <w:tmpl w:val="22AA41DC"/>
    <w:lvl w:ilvl="0" w:tplc="94CE44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9311A52"/>
    <w:multiLevelType w:val="hybridMultilevel"/>
    <w:tmpl w:val="E3D2A776"/>
    <w:lvl w:ilvl="0" w:tplc="8AD0F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F944B4"/>
    <w:multiLevelType w:val="hybridMultilevel"/>
    <w:tmpl w:val="A428FBBE"/>
    <w:lvl w:ilvl="0" w:tplc="55B225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30A5D15"/>
    <w:multiLevelType w:val="hybridMultilevel"/>
    <w:tmpl w:val="3E0CE002"/>
    <w:lvl w:ilvl="0" w:tplc="B0E48E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672D46"/>
    <w:multiLevelType w:val="hybridMultilevel"/>
    <w:tmpl w:val="85EE8240"/>
    <w:lvl w:ilvl="0" w:tplc="C65C3A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0D47E8"/>
    <w:multiLevelType w:val="hybridMultilevel"/>
    <w:tmpl w:val="9580B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D3588F"/>
    <w:multiLevelType w:val="hybridMultilevel"/>
    <w:tmpl w:val="F558D436"/>
    <w:lvl w:ilvl="0" w:tplc="D1125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0" w15:restartNumberingAfterBreak="0">
    <w:nsid w:val="7CFB0CBC"/>
    <w:multiLevelType w:val="hybridMultilevel"/>
    <w:tmpl w:val="66AC2B6A"/>
    <w:lvl w:ilvl="0" w:tplc="3104E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5"/>
  </w:num>
  <w:num w:numId="9">
    <w:abstractNumId w:val="18"/>
  </w:num>
  <w:num w:numId="10">
    <w:abstractNumId w:val="20"/>
  </w:num>
  <w:num w:numId="11">
    <w:abstractNumId w:val="7"/>
  </w:num>
  <w:num w:numId="12">
    <w:abstractNumId w:val="14"/>
  </w:num>
  <w:num w:numId="13">
    <w:abstractNumId w:val="19"/>
  </w:num>
  <w:num w:numId="14">
    <w:abstractNumId w:val="9"/>
  </w:num>
  <w:num w:numId="15">
    <w:abstractNumId w:val="13"/>
  </w:num>
  <w:num w:numId="16">
    <w:abstractNumId w:val="6"/>
  </w:num>
  <w:num w:numId="17">
    <w:abstractNumId w:val="8"/>
  </w:num>
  <w:num w:numId="18">
    <w:abstractNumId w:val="3"/>
  </w:num>
  <w:num w:numId="19">
    <w:abstractNumId w:val="11"/>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3C60A8"/>
    <w:rsid w:val="000007C6"/>
    <w:rsid w:val="00000D3B"/>
    <w:rsid w:val="00000D7A"/>
    <w:rsid w:val="00000DB9"/>
    <w:rsid w:val="00001381"/>
    <w:rsid w:val="00001EE6"/>
    <w:rsid w:val="00001F11"/>
    <w:rsid w:val="00002636"/>
    <w:rsid w:val="00003FA1"/>
    <w:rsid w:val="00004325"/>
    <w:rsid w:val="00004E1D"/>
    <w:rsid w:val="000056CB"/>
    <w:rsid w:val="0000603A"/>
    <w:rsid w:val="00006079"/>
    <w:rsid w:val="00007622"/>
    <w:rsid w:val="000105F2"/>
    <w:rsid w:val="00010D06"/>
    <w:rsid w:val="00010FD3"/>
    <w:rsid w:val="000114D5"/>
    <w:rsid w:val="00012904"/>
    <w:rsid w:val="00012FC0"/>
    <w:rsid w:val="00014594"/>
    <w:rsid w:val="000145B6"/>
    <w:rsid w:val="00014611"/>
    <w:rsid w:val="000154F6"/>
    <w:rsid w:val="0001660B"/>
    <w:rsid w:val="0001678C"/>
    <w:rsid w:val="0001717F"/>
    <w:rsid w:val="00017390"/>
    <w:rsid w:val="00017B02"/>
    <w:rsid w:val="00017E75"/>
    <w:rsid w:val="000203F9"/>
    <w:rsid w:val="000209B8"/>
    <w:rsid w:val="00021662"/>
    <w:rsid w:val="00021708"/>
    <w:rsid w:val="00021A61"/>
    <w:rsid w:val="00021EC8"/>
    <w:rsid w:val="00021F14"/>
    <w:rsid w:val="0002266D"/>
    <w:rsid w:val="00022A8E"/>
    <w:rsid w:val="00022EEA"/>
    <w:rsid w:val="00023714"/>
    <w:rsid w:val="00025111"/>
    <w:rsid w:val="00025B81"/>
    <w:rsid w:val="0002631F"/>
    <w:rsid w:val="00026601"/>
    <w:rsid w:val="000266F9"/>
    <w:rsid w:val="000276A2"/>
    <w:rsid w:val="00027DB6"/>
    <w:rsid w:val="0003059F"/>
    <w:rsid w:val="00030683"/>
    <w:rsid w:val="000308E8"/>
    <w:rsid w:val="00030C71"/>
    <w:rsid w:val="000316E5"/>
    <w:rsid w:val="00033342"/>
    <w:rsid w:val="0003336A"/>
    <w:rsid w:val="00033382"/>
    <w:rsid w:val="00034112"/>
    <w:rsid w:val="000343C8"/>
    <w:rsid w:val="00034540"/>
    <w:rsid w:val="00034B55"/>
    <w:rsid w:val="00034D05"/>
    <w:rsid w:val="00034E03"/>
    <w:rsid w:val="000355FA"/>
    <w:rsid w:val="00035637"/>
    <w:rsid w:val="00035AF4"/>
    <w:rsid w:val="00035FAE"/>
    <w:rsid w:val="000361BF"/>
    <w:rsid w:val="000361CC"/>
    <w:rsid w:val="00036307"/>
    <w:rsid w:val="00036D9B"/>
    <w:rsid w:val="00037DBC"/>
    <w:rsid w:val="00040813"/>
    <w:rsid w:val="00040910"/>
    <w:rsid w:val="00041093"/>
    <w:rsid w:val="000420C4"/>
    <w:rsid w:val="00042595"/>
    <w:rsid w:val="00044238"/>
    <w:rsid w:val="000447D9"/>
    <w:rsid w:val="00044BD7"/>
    <w:rsid w:val="00044D69"/>
    <w:rsid w:val="00045EE6"/>
    <w:rsid w:val="000461F5"/>
    <w:rsid w:val="0004675F"/>
    <w:rsid w:val="00047010"/>
    <w:rsid w:val="00047083"/>
    <w:rsid w:val="000471E0"/>
    <w:rsid w:val="00047828"/>
    <w:rsid w:val="00050A45"/>
    <w:rsid w:val="0005141D"/>
    <w:rsid w:val="0005237A"/>
    <w:rsid w:val="0005263D"/>
    <w:rsid w:val="00052CC0"/>
    <w:rsid w:val="0005370E"/>
    <w:rsid w:val="00053D89"/>
    <w:rsid w:val="0005421D"/>
    <w:rsid w:val="000558C7"/>
    <w:rsid w:val="00055BD3"/>
    <w:rsid w:val="0005613F"/>
    <w:rsid w:val="000563A1"/>
    <w:rsid w:val="00056B5C"/>
    <w:rsid w:val="00057272"/>
    <w:rsid w:val="000578C9"/>
    <w:rsid w:val="000604DF"/>
    <w:rsid w:val="0006058B"/>
    <w:rsid w:val="0006149C"/>
    <w:rsid w:val="0006286B"/>
    <w:rsid w:val="00062D16"/>
    <w:rsid w:val="000630E5"/>
    <w:rsid w:val="000648E6"/>
    <w:rsid w:val="00065118"/>
    <w:rsid w:val="0006581E"/>
    <w:rsid w:val="0006670E"/>
    <w:rsid w:val="000667D8"/>
    <w:rsid w:val="00066E74"/>
    <w:rsid w:val="000672B5"/>
    <w:rsid w:val="00067399"/>
    <w:rsid w:val="00067BA5"/>
    <w:rsid w:val="00070DA2"/>
    <w:rsid w:val="00072DB6"/>
    <w:rsid w:val="00074159"/>
    <w:rsid w:val="00074376"/>
    <w:rsid w:val="0007494B"/>
    <w:rsid w:val="00075511"/>
    <w:rsid w:val="00076DD1"/>
    <w:rsid w:val="00077747"/>
    <w:rsid w:val="000779F0"/>
    <w:rsid w:val="00077D23"/>
    <w:rsid w:val="00081595"/>
    <w:rsid w:val="000821C9"/>
    <w:rsid w:val="00082903"/>
    <w:rsid w:val="000833CB"/>
    <w:rsid w:val="00084E27"/>
    <w:rsid w:val="000855F9"/>
    <w:rsid w:val="00090080"/>
    <w:rsid w:val="00090253"/>
    <w:rsid w:val="0009090B"/>
    <w:rsid w:val="0009173C"/>
    <w:rsid w:val="0009193F"/>
    <w:rsid w:val="000930C4"/>
    <w:rsid w:val="000932D5"/>
    <w:rsid w:val="00093B7B"/>
    <w:rsid w:val="00093E1E"/>
    <w:rsid w:val="00093EC9"/>
    <w:rsid w:val="000942EF"/>
    <w:rsid w:val="00094DE7"/>
    <w:rsid w:val="00095150"/>
    <w:rsid w:val="00095C66"/>
    <w:rsid w:val="00095D52"/>
    <w:rsid w:val="00096551"/>
    <w:rsid w:val="000A214A"/>
    <w:rsid w:val="000A276D"/>
    <w:rsid w:val="000A2FDD"/>
    <w:rsid w:val="000A315C"/>
    <w:rsid w:val="000A35E6"/>
    <w:rsid w:val="000A372A"/>
    <w:rsid w:val="000A3D5D"/>
    <w:rsid w:val="000A469F"/>
    <w:rsid w:val="000A4750"/>
    <w:rsid w:val="000A4F88"/>
    <w:rsid w:val="000A521E"/>
    <w:rsid w:val="000A5A2E"/>
    <w:rsid w:val="000A5B43"/>
    <w:rsid w:val="000A5FFF"/>
    <w:rsid w:val="000A6441"/>
    <w:rsid w:val="000A65B2"/>
    <w:rsid w:val="000A6988"/>
    <w:rsid w:val="000A7005"/>
    <w:rsid w:val="000A702F"/>
    <w:rsid w:val="000B04AD"/>
    <w:rsid w:val="000B0A37"/>
    <w:rsid w:val="000B16D3"/>
    <w:rsid w:val="000B1CDE"/>
    <w:rsid w:val="000B2048"/>
    <w:rsid w:val="000B230E"/>
    <w:rsid w:val="000B2CF6"/>
    <w:rsid w:val="000B3238"/>
    <w:rsid w:val="000B33C3"/>
    <w:rsid w:val="000B37F9"/>
    <w:rsid w:val="000B55CF"/>
    <w:rsid w:val="000B6108"/>
    <w:rsid w:val="000B6339"/>
    <w:rsid w:val="000B6B8A"/>
    <w:rsid w:val="000B7481"/>
    <w:rsid w:val="000B763D"/>
    <w:rsid w:val="000C0544"/>
    <w:rsid w:val="000C0964"/>
    <w:rsid w:val="000C1CFC"/>
    <w:rsid w:val="000C36AF"/>
    <w:rsid w:val="000C4812"/>
    <w:rsid w:val="000C521E"/>
    <w:rsid w:val="000C5517"/>
    <w:rsid w:val="000C60F8"/>
    <w:rsid w:val="000C72C2"/>
    <w:rsid w:val="000C73C9"/>
    <w:rsid w:val="000C7967"/>
    <w:rsid w:val="000D0A06"/>
    <w:rsid w:val="000D15D8"/>
    <w:rsid w:val="000D1764"/>
    <w:rsid w:val="000D2102"/>
    <w:rsid w:val="000D373A"/>
    <w:rsid w:val="000D3FB7"/>
    <w:rsid w:val="000D4F47"/>
    <w:rsid w:val="000D5F59"/>
    <w:rsid w:val="000D5F86"/>
    <w:rsid w:val="000D6067"/>
    <w:rsid w:val="000D625A"/>
    <w:rsid w:val="000D65F2"/>
    <w:rsid w:val="000D680D"/>
    <w:rsid w:val="000D7287"/>
    <w:rsid w:val="000E0026"/>
    <w:rsid w:val="000E0070"/>
    <w:rsid w:val="000E0B35"/>
    <w:rsid w:val="000E1C05"/>
    <w:rsid w:val="000E21EE"/>
    <w:rsid w:val="000E3B4F"/>
    <w:rsid w:val="000E4BAA"/>
    <w:rsid w:val="000E5264"/>
    <w:rsid w:val="000E5757"/>
    <w:rsid w:val="000E5F1C"/>
    <w:rsid w:val="000E6A18"/>
    <w:rsid w:val="000E6B9A"/>
    <w:rsid w:val="000E7694"/>
    <w:rsid w:val="000F2C3F"/>
    <w:rsid w:val="000F38A2"/>
    <w:rsid w:val="000F4707"/>
    <w:rsid w:val="000F5365"/>
    <w:rsid w:val="000F5585"/>
    <w:rsid w:val="000F5D50"/>
    <w:rsid w:val="000F67FB"/>
    <w:rsid w:val="000F6EE0"/>
    <w:rsid w:val="000F6FCF"/>
    <w:rsid w:val="000F7134"/>
    <w:rsid w:val="000F746B"/>
    <w:rsid w:val="000F750F"/>
    <w:rsid w:val="000F778D"/>
    <w:rsid w:val="00100D23"/>
    <w:rsid w:val="00100E26"/>
    <w:rsid w:val="0010160E"/>
    <w:rsid w:val="00101706"/>
    <w:rsid w:val="0010177F"/>
    <w:rsid w:val="00102828"/>
    <w:rsid w:val="0010299D"/>
    <w:rsid w:val="00102CE7"/>
    <w:rsid w:val="001071D8"/>
    <w:rsid w:val="00107F63"/>
    <w:rsid w:val="00110699"/>
    <w:rsid w:val="00110A0E"/>
    <w:rsid w:val="00112977"/>
    <w:rsid w:val="0011346A"/>
    <w:rsid w:val="001137DB"/>
    <w:rsid w:val="00113A88"/>
    <w:rsid w:val="001144E4"/>
    <w:rsid w:val="00114F76"/>
    <w:rsid w:val="00114F92"/>
    <w:rsid w:val="001159F3"/>
    <w:rsid w:val="00115D41"/>
    <w:rsid w:val="001176BE"/>
    <w:rsid w:val="00117ADB"/>
    <w:rsid w:val="00120C25"/>
    <w:rsid w:val="00121538"/>
    <w:rsid w:val="001217FA"/>
    <w:rsid w:val="00121AEE"/>
    <w:rsid w:val="001222AA"/>
    <w:rsid w:val="00122A0C"/>
    <w:rsid w:val="001230CF"/>
    <w:rsid w:val="0012357A"/>
    <w:rsid w:val="00123A7D"/>
    <w:rsid w:val="00123DEF"/>
    <w:rsid w:val="00123F4E"/>
    <w:rsid w:val="00124362"/>
    <w:rsid w:val="00124549"/>
    <w:rsid w:val="00124A87"/>
    <w:rsid w:val="001252A0"/>
    <w:rsid w:val="0013060D"/>
    <w:rsid w:val="00130B51"/>
    <w:rsid w:val="00130DA4"/>
    <w:rsid w:val="00130FF5"/>
    <w:rsid w:val="00131A7B"/>
    <w:rsid w:val="00132EE4"/>
    <w:rsid w:val="00133CE0"/>
    <w:rsid w:val="001340F7"/>
    <w:rsid w:val="0013410D"/>
    <w:rsid w:val="001344E4"/>
    <w:rsid w:val="00134880"/>
    <w:rsid w:val="00134BAD"/>
    <w:rsid w:val="00134EB1"/>
    <w:rsid w:val="001352A3"/>
    <w:rsid w:val="001373F4"/>
    <w:rsid w:val="001401FE"/>
    <w:rsid w:val="00140D9A"/>
    <w:rsid w:val="001412E1"/>
    <w:rsid w:val="0014133C"/>
    <w:rsid w:val="0014212F"/>
    <w:rsid w:val="00143109"/>
    <w:rsid w:val="00143143"/>
    <w:rsid w:val="0014323C"/>
    <w:rsid w:val="001437F3"/>
    <w:rsid w:val="00143875"/>
    <w:rsid w:val="00144617"/>
    <w:rsid w:val="00144B3F"/>
    <w:rsid w:val="00144F51"/>
    <w:rsid w:val="00145F62"/>
    <w:rsid w:val="0014678A"/>
    <w:rsid w:val="001479D2"/>
    <w:rsid w:val="00147A4E"/>
    <w:rsid w:val="001500E7"/>
    <w:rsid w:val="00150E4F"/>
    <w:rsid w:val="00151614"/>
    <w:rsid w:val="00152108"/>
    <w:rsid w:val="00152387"/>
    <w:rsid w:val="00152576"/>
    <w:rsid w:val="001527B8"/>
    <w:rsid w:val="0015336A"/>
    <w:rsid w:val="001536D2"/>
    <w:rsid w:val="00153A3A"/>
    <w:rsid w:val="00153B9D"/>
    <w:rsid w:val="0015472F"/>
    <w:rsid w:val="00155DCC"/>
    <w:rsid w:val="00156875"/>
    <w:rsid w:val="00161D52"/>
    <w:rsid w:val="00162AA2"/>
    <w:rsid w:val="00163383"/>
    <w:rsid w:val="00163E05"/>
    <w:rsid w:val="0016546B"/>
    <w:rsid w:val="001659E8"/>
    <w:rsid w:val="00166C79"/>
    <w:rsid w:val="001671E2"/>
    <w:rsid w:val="00167E99"/>
    <w:rsid w:val="0017075F"/>
    <w:rsid w:val="00171AEB"/>
    <w:rsid w:val="001722D1"/>
    <w:rsid w:val="0017361F"/>
    <w:rsid w:val="00174517"/>
    <w:rsid w:val="00174B55"/>
    <w:rsid w:val="001752BA"/>
    <w:rsid w:val="00175E32"/>
    <w:rsid w:val="00176C70"/>
    <w:rsid w:val="00177095"/>
    <w:rsid w:val="0017762F"/>
    <w:rsid w:val="00181CDE"/>
    <w:rsid w:val="001822F1"/>
    <w:rsid w:val="00182532"/>
    <w:rsid w:val="00182594"/>
    <w:rsid w:val="00182F98"/>
    <w:rsid w:val="0018310E"/>
    <w:rsid w:val="0018329D"/>
    <w:rsid w:val="001837CB"/>
    <w:rsid w:val="00184201"/>
    <w:rsid w:val="00184265"/>
    <w:rsid w:val="00184ED7"/>
    <w:rsid w:val="00185030"/>
    <w:rsid w:val="0018541F"/>
    <w:rsid w:val="00186591"/>
    <w:rsid w:val="00186BB0"/>
    <w:rsid w:val="00186D9A"/>
    <w:rsid w:val="001877B9"/>
    <w:rsid w:val="0018782E"/>
    <w:rsid w:val="00187AC1"/>
    <w:rsid w:val="00187C8C"/>
    <w:rsid w:val="00187E07"/>
    <w:rsid w:val="00191994"/>
    <w:rsid w:val="00192D4A"/>
    <w:rsid w:val="00193191"/>
    <w:rsid w:val="001945F2"/>
    <w:rsid w:val="00194DE6"/>
    <w:rsid w:val="00195594"/>
    <w:rsid w:val="00195A96"/>
    <w:rsid w:val="00195E24"/>
    <w:rsid w:val="001969F2"/>
    <w:rsid w:val="00196C5D"/>
    <w:rsid w:val="00197010"/>
    <w:rsid w:val="001A0382"/>
    <w:rsid w:val="001A1C96"/>
    <w:rsid w:val="001A1E5D"/>
    <w:rsid w:val="001A382B"/>
    <w:rsid w:val="001A4E08"/>
    <w:rsid w:val="001A5499"/>
    <w:rsid w:val="001A587D"/>
    <w:rsid w:val="001A5D06"/>
    <w:rsid w:val="001A650B"/>
    <w:rsid w:val="001A75B1"/>
    <w:rsid w:val="001B0BDD"/>
    <w:rsid w:val="001B1A42"/>
    <w:rsid w:val="001B2844"/>
    <w:rsid w:val="001B2F61"/>
    <w:rsid w:val="001B32BC"/>
    <w:rsid w:val="001B38A7"/>
    <w:rsid w:val="001B4DAC"/>
    <w:rsid w:val="001B56A5"/>
    <w:rsid w:val="001B56FC"/>
    <w:rsid w:val="001B585E"/>
    <w:rsid w:val="001B5FFF"/>
    <w:rsid w:val="001B649E"/>
    <w:rsid w:val="001B67B7"/>
    <w:rsid w:val="001B6970"/>
    <w:rsid w:val="001B6A79"/>
    <w:rsid w:val="001B6B2D"/>
    <w:rsid w:val="001B7C9E"/>
    <w:rsid w:val="001C0044"/>
    <w:rsid w:val="001C0500"/>
    <w:rsid w:val="001C0638"/>
    <w:rsid w:val="001C0C40"/>
    <w:rsid w:val="001C0CF1"/>
    <w:rsid w:val="001C1106"/>
    <w:rsid w:val="001C13A2"/>
    <w:rsid w:val="001C166E"/>
    <w:rsid w:val="001C26BC"/>
    <w:rsid w:val="001C2AC2"/>
    <w:rsid w:val="001C3FED"/>
    <w:rsid w:val="001C4394"/>
    <w:rsid w:val="001C48D7"/>
    <w:rsid w:val="001C4C7B"/>
    <w:rsid w:val="001C4FC1"/>
    <w:rsid w:val="001C5E83"/>
    <w:rsid w:val="001C685D"/>
    <w:rsid w:val="001C6CCE"/>
    <w:rsid w:val="001C72D8"/>
    <w:rsid w:val="001C7BA0"/>
    <w:rsid w:val="001D0AB2"/>
    <w:rsid w:val="001D115E"/>
    <w:rsid w:val="001D1658"/>
    <w:rsid w:val="001D2C63"/>
    <w:rsid w:val="001D3079"/>
    <w:rsid w:val="001D4068"/>
    <w:rsid w:val="001D468A"/>
    <w:rsid w:val="001D6AFD"/>
    <w:rsid w:val="001D7EDE"/>
    <w:rsid w:val="001D7F51"/>
    <w:rsid w:val="001E1E26"/>
    <w:rsid w:val="001E2140"/>
    <w:rsid w:val="001E3B88"/>
    <w:rsid w:val="001E3FAB"/>
    <w:rsid w:val="001E4143"/>
    <w:rsid w:val="001E4304"/>
    <w:rsid w:val="001E4422"/>
    <w:rsid w:val="001E45C6"/>
    <w:rsid w:val="001E4DE4"/>
    <w:rsid w:val="001E50C5"/>
    <w:rsid w:val="001E521E"/>
    <w:rsid w:val="001E53FA"/>
    <w:rsid w:val="001E67F3"/>
    <w:rsid w:val="001E6966"/>
    <w:rsid w:val="001E6E29"/>
    <w:rsid w:val="001F09B3"/>
    <w:rsid w:val="001F1839"/>
    <w:rsid w:val="001F24D4"/>
    <w:rsid w:val="001F48B0"/>
    <w:rsid w:val="001F4ABD"/>
    <w:rsid w:val="001F4DFC"/>
    <w:rsid w:val="001F4E94"/>
    <w:rsid w:val="001F54EF"/>
    <w:rsid w:val="001F5761"/>
    <w:rsid w:val="001F5AB6"/>
    <w:rsid w:val="001F6122"/>
    <w:rsid w:val="001F76D7"/>
    <w:rsid w:val="001F7BD0"/>
    <w:rsid w:val="002005F0"/>
    <w:rsid w:val="00200853"/>
    <w:rsid w:val="002022CD"/>
    <w:rsid w:val="0020274E"/>
    <w:rsid w:val="00203520"/>
    <w:rsid w:val="0020368E"/>
    <w:rsid w:val="00204BD7"/>
    <w:rsid w:val="002055C1"/>
    <w:rsid w:val="00205ECE"/>
    <w:rsid w:val="00206BF5"/>
    <w:rsid w:val="00207323"/>
    <w:rsid w:val="00207688"/>
    <w:rsid w:val="00210B81"/>
    <w:rsid w:val="0021124E"/>
    <w:rsid w:val="00211A23"/>
    <w:rsid w:val="00211B38"/>
    <w:rsid w:val="00211E4E"/>
    <w:rsid w:val="00214E7B"/>
    <w:rsid w:val="002162B5"/>
    <w:rsid w:val="002167C7"/>
    <w:rsid w:val="00217DA2"/>
    <w:rsid w:val="0022026E"/>
    <w:rsid w:val="00220D51"/>
    <w:rsid w:val="00220E21"/>
    <w:rsid w:val="002211E1"/>
    <w:rsid w:val="00221CF4"/>
    <w:rsid w:val="00222EF4"/>
    <w:rsid w:val="00223783"/>
    <w:rsid w:val="00224B44"/>
    <w:rsid w:val="00224B4F"/>
    <w:rsid w:val="00224EB2"/>
    <w:rsid w:val="00224F08"/>
    <w:rsid w:val="00226B4C"/>
    <w:rsid w:val="0022710F"/>
    <w:rsid w:val="00227FDE"/>
    <w:rsid w:val="0023072F"/>
    <w:rsid w:val="00230791"/>
    <w:rsid w:val="002312A5"/>
    <w:rsid w:val="002333FC"/>
    <w:rsid w:val="00233564"/>
    <w:rsid w:val="0023482F"/>
    <w:rsid w:val="002366A7"/>
    <w:rsid w:val="00237449"/>
    <w:rsid w:val="00240A4D"/>
    <w:rsid w:val="00241C27"/>
    <w:rsid w:val="00241DB8"/>
    <w:rsid w:val="0024206C"/>
    <w:rsid w:val="002421C7"/>
    <w:rsid w:val="002421EC"/>
    <w:rsid w:val="00242B0C"/>
    <w:rsid w:val="00242DB1"/>
    <w:rsid w:val="00242FA8"/>
    <w:rsid w:val="00243A7E"/>
    <w:rsid w:val="00243ACD"/>
    <w:rsid w:val="0024684D"/>
    <w:rsid w:val="00246F0D"/>
    <w:rsid w:val="002473F6"/>
    <w:rsid w:val="00247E8A"/>
    <w:rsid w:val="002504AC"/>
    <w:rsid w:val="00250556"/>
    <w:rsid w:val="0025141D"/>
    <w:rsid w:val="002515AD"/>
    <w:rsid w:val="00251693"/>
    <w:rsid w:val="00251B5A"/>
    <w:rsid w:val="00251DD3"/>
    <w:rsid w:val="0025242F"/>
    <w:rsid w:val="002525E8"/>
    <w:rsid w:val="00252C91"/>
    <w:rsid w:val="00253082"/>
    <w:rsid w:val="00253551"/>
    <w:rsid w:val="00253F67"/>
    <w:rsid w:val="002546FC"/>
    <w:rsid w:val="00255B85"/>
    <w:rsid w:val="00255BA3"/>
    <w:rsid w:val="00255CF8"/>
    <w:rsid w:val="00256C36"/>
    <w:rsid w:val="00256C45"/>
    <w:rsid w:val="002574EC"/>
    <w:rsid w:val="00257C94"/>
    <w:rsid w:val="002600B1"/>
    <w:rsid w:val="002602B3"/>
    <w:rsid w:val="00261604"/>
    <w:rsid w:val="00261A6E"/>
    <w:rsid w:val="00262AC7"/>
    <w:rsid w:val="00263DE4"/>
    <w:rsid w:val="0026455C"/>
    <w:rsid w:val="00264926"/>
    <w:rsid w:val="00264FBD"/>
    <w:rsid w:val="0026589B"/>
    <w:rsid w:val="00266321"/>
    <w:rsid w:val="002663E9"/>
    <w:rsid w:val="00266419"/>
    <w:rsid w:val="00267938"/>
    <w:rsid w:val="00270AC4"/>
    <w:rsid w:val="00270D94"/>
    <w:rsid w:val="00271409"/>
    <w:rsid w:val="00272724"/>
    <w:rsid w:val="0027426F"/>
    <w:rsid w:val="002742CE"/>
    <w:rsid w:val="00274806"/>
    <w:rsid w:val="00274C2E"/>
    <w:rsid w:val="002756DD"/>
    <w:rsid w:val="00275A62"/>
    <w:rsid w:val="00276468"/>
    <w:rsid w:val="002764C2"/>
    <w:rsid w:val="002766EE"/>
    <w:rsid w:val="0027674B"/>
    <w:rsid w:val="00276829"/>
    <w:rsid w:val="00276D5E"/>
    <w:rsid w:val="00280277"/>
    <w:rsid w:val="002802E1"/>
    <w:rsid w:val="00280760"/>
    <w:rsid w:val="002813F3"/>
    <w:rsid w:val="00281C91"/>
    <w:rsid w:val="002822DB"/>
    <w:rsid w:val="00282625"/>
    <w:rsid w:val="00282B08"/>
    <w:rsid w:val="00283289"/>
    <w:rsid w:val="00283D66"/>
    <w:rsid w:val="00283FF5"/>
    <w:rsid w:val="002841C9"/>
    <w:rsid w:val="00284999"/>
    <w:rsid w:val="002855F1"/>
    <w:rsid w:val="0028609A"/>
    <w:rsid w:val="0028646C"/>
    <w:rsid w:val="00287CE2"/>
    <w:rsid w:val="002903D8"/>
    <w:rsid w:val="0029233B"/>
    <w:rsid w:val="002923F5"/>
    <w:rsid w:val="00292871"/>
    <w:rsid w:val="00294480"/>
    <w:rsid w:val="002949F5"/>
    <w:rsid w:val="00294AA3"/>
    <w:rsid w:val="00294BAB"/>
    <w:rsid w:val="00294CA1"/>
    <w:rsid w:val="00294CC6"/>
    <w:rsid w:val="002951FD"/>
    <w:rsid w:val="00295270"/>
    <w:rsid w:val="00295875"/>
    <w:rsid w:val="00295A01"/>
    <w:rsid w:val="00296A3F"/>
    <w:rsid w:val="0029758C"/>
    <w:rsid w:val="002A026C"/>
    <w:rsid w:val="002A0CAD"/>
    <w:rsid w:val="002A2389"/>
    <w:rsid w:val="002A2DBE"/>
    <w:rsid w:val="002A32D1"/>
    <w:rsid w:val="002A386D"/>
    <w:rsid w:val="002A4366"/>
    <w:rsid w:val="002A4BA9"/>
    <w:rsid w:val="002A4BDE"/>
    <w:rsid w:val="002A5241"/>
    <w:rsid w:val="002A65CC"/>
    <w:rsid w:val="002A789C"/>
    <w:rsid w:val="002B0189"/>
    <w:rsid w:val="002B0660"/>
    <w:rsid w:val="002B0A15"/>
    <w:rsid w:val="002B0A9C"/>
    <w:rsid w:val="002B19D9"/>
    <w:rsid w:val="002B1EF5"/>
    <w:rsid w:val="002B2437"/>
    <w:rsid w:val="002B2C96"/>
    <w:rsid w:val="002B382C"/>
    <w:rsid w:val="002B3D0F"/>
    <w:rsid w:val="002B40E8"/>
    <w:rsid w:val="002B427D"/>
    <w:rsid w:val="002B5024"/>
    <w:rsid w:val="002B6471"/>
    <w:rsid w:val="002B6960"/>
    <w:rsid w:val="002B6B82"/>
    <w:rsid w:val="002B7B2F"/>
    <w:rsid w:val="002C02AE"/>
    <w:rsid w:val="002C0CE6"/>
    <w:rsid w:val="002C1058"/>
    <w:rsid w:val="002C113E"/>
    <w:rsid w:val="002C1248"/>
    <w:rsid w:val="002C1FFE"/>
    <w:rsid w:val="002C29BD"/>
    <w:rsid w:val="002C45DB"/>
    <w:rsid w:val="002C47EC"/>
    <w:rsid w:val="002C4A18"/>
    <w:rsid w:val="002C4D6C"/>
    <w:rsid w:val="002C6A11"/>
    <w:rsid w:val="002D0FA0"/>
    <w:rsid w:val="002D1C17"/>
    <w:rsid w:val="002D218C"/>
    <w:rsid w:val="002D3207"/>
    <w:rsid w:val="002D4B5F"/>
    <w:rsid w:val="002D59D1"/>
    <w:rsid w:val="002D689A"/>
    <w:rsid w:val="002D7AB3"/>
    <w:rsid w:val="002E06A2"/>
    <w:rsid w:val="002E114C"/>
    <w:rsid w:val="002E1824"/>
    <w:rsid w:val="002E2771"/>
    <w:rsid w:val="002E281A"/>
    <w:rsid w:val="002E2E87"/>
    <w:rsid w:val="002E3A48"/>
    <w:rsid w:val="002E4072"/>
    <w:rsid w:val="002E4DA4"/>
    <w:rsid w:val="002E4FC0"/>
    <w:rsid w:val="002E53C1"/>
    <w:rsid w:val="002E5815"/>
    <w:rsid w:val="002E756D"/>
    <w:rsid w:val="002F004D"/>
    <w:rsid w:val="002F127A"/>
    <w:rsid w:val="002F1CCE"/>
    <w:rsid w:val="002F31F7"/>
    <w:rsid w:val="002F3AD0"/>
    <w:rsid w:val="002F42D0"/>
    <w:rsid w:val="002F4919"/>
    <w:rsid w:val="002F56E9"/>
    <w:rsid w:val="002F5CB7"/>
    <w:rsid w:val="002F64EA"/>
    <w:rsid w:val="002F6950"/>
    <w:rsid w:val="002F7A00"/>
    <w:rsid w:val="002F7BFD"/>
    <w:rsid w:val="002F7C59"/>
    <w:rsid w:val="00300723"/>
    <w:rsid w:val="00300FF8"/>
    <w:rsid w:val="00302822"/>
    <w:rsid w:val="003035DA"/>
    <w:rsid w:val="00303B57"/>
    <w:rsid w:val="0030413B"/>
    <w:rsid w:val="003049B4"/>
    <w:rsid w:val="003050F0"/>
    <w:rsid w:val="00305C4E"/>
    <w:rsid w:val="00307119"/>
    <w:rsid w:val="0030735E"/>
    <w:rsid w:val="0030769A"/>
    <w:rsid w:val="00307822"/>
    <w:rsid w:val="00307943"/>
    <w:rsid w:val="00310248"/>
    <w:rsid w:val="00310CD0"/>
    <w:rsid w:val="0031203E"/>
    <w:rsid w:val="003120DE"/>
    <w:rsid w:val="00312B3A"/>
    <w:rsid w:val="003132E4"/>
    <w:rsid w:val="0031346E"/>
    <w:rsid w:val="00313C3B"/>
    <w:rsid w:val="003146DE"/>
    <w:rsid w:val="0031526C"/>
    <w:rsid w:val="00316125"/>
    <w:rsid w:val="003165B6"/>
    <w:rsid w:val="003168E7"/>
    <w:rsid w:val="00317C62"/>
    <w:rsid w:val="00320169"/>
    <w:rsid w:val="003206B6"/>
    <w:rsid w:val="00320E0B"/>
    <w:rsid w:val="00321E62"/>
    <w:rsid w:val="003220AD"/>
    <w:rsid w:val="003223CB"/>
    <w:rsid w:val="003227FD"/>
    <w:rsid w:val="00322960"/>
    <w:rsid w:val="00323267"/>
    <w:rsid w:val="00323830"/>
    <w:rsid w:val="00323D36"/>
    <w:rsid w:val="00323FBB"/>
    <w:rsid w:val="00324464"/>
    <w:rsid w:val="00324BA6"/>
    <w:rsid w:val="003250E6"/>
    <w:rsid w:val="0032558C"/>
    <w:rsid w:val="00326226"/>
    <w:rsid w:val="00326CA9"/>
    <w:rsid w:val="00326ED6"/>
    <w:rsid w:val="00330778"/>
    <w:rsid w:val="0033116F"/>
    <w:rsid w:val="00331222"/>
    <w:rsid w:val="00331414"/>
    <w:rsid w:val="00331740"/>
    <w:rsid w:val="00331A4E"/>
    <w:rsid w:val="003323D7"/>
    <w:rsid w:val="00333563"/>
    <w:rsid w:val="00333823"/>
    <w:rsid w:val="0033425F"/>
    <w:rsid w:val="003342F0"/>
    <w:rsid w:val="00334672"/>
    <w:rsid w:val="00334ED8"/>
    <w:rsid w:val="0033557E"/>
    <w:rsid w:val="00335B46"/>
    <w:rsid w:val="003366ED"/>
    <w:rsid w:val="00336EFF"/>
    <w:rsid w:val="00337129"/>
    <w:rsid w:val="003402BB"/>
    <w:rsid w:val="00340C80"/>
    <w:rsid w:val="0034264B"/>
    <w:rsid w:val="00342822"/>
    <w:rsid w:val="003434B7"/>
    <w:rsid w:val="00343764"/>
    <w:rsid w:val="00343D24"/>
    <w:rsid w:val="00343D9D"/>
    <w:rsid w:val="00343E7E"/>
    <w:rsid w:val="00344442"/>
    <w:rsid w:val="00344EE1"/>
    <w:rsid w:val="00345BF3"/>
    <w:rsid w:val="00345CD6"/>
    <w:rsid w:val="00346B8F"/>
    <w:rsid w:val="00346E6E"/>
    <w:rsid w:val="00350049"/>
    <w:rsid w:val="00350D81"/>
    <w:rsid w:val="0035385C"/>
    <w:rsid w:val="003549AF"/>
    <w:rsid w:val="00354A0B"/>
    <w:rsid w:val="00355505"/>
    <w:rsid w:val="00355BB1"/>
    <w:rsid w:val="00355F8D"/>
    <w:rsid w:val="00356A06"/>
    <w:rsid w:val="00356B26"/>
    <w:rsid w:val="00357298"/>
    <w:rsid w:val="00357F57"/>
    <w:rsid w:val="00361837"/>
    <w:rsid w:val="003629F5"/>
    <w:rsid w:val="00362A83"/>
    <w:rsid w:val="00363361"/>
    <w:rsid w:val="003639CA"/>
    <w:rsid w:val="00363DFD"/>
    <w:rsid w:val="00365B99"/>
    <w:rsid w:val="00365DC1"/>
    <w:rsid w:val="0036741E"/>
    <w:rsid w:val="003675EA"/>
    <w:rsid w:val="00370742"/>
    <w:rsid w:val="00370909"/>
    <w:rsid w:val="00370A1A"/>
    <w:rsid w:val="00370F4C"/>
    <w:rsid w:val="00370FDE"/>
    <w:rsid w:val="00371353"/>
    <w:rsid w:val="00371518"/>
    <w:rsid w:val="00371DB8"/>
    <w:rsid w:val="00371F70"/>
    <w:rsid w:val="003725DD"/>
    <w:rsid w:val="003739B3"/>
    <w:rsid w:val="00374742"/>
    <w:rsid w:val="00374873"/>
    <w:rsid w:val="003749DB"/>
    <w:rsid w:val="00374EF9"/>
    <w:rsid w:val="00374F38"/>
    <w:rsid w:val="00376BCA"/>
    <w:rsid w:val="00380B73"/>
    <w:rsid w:val="00380BFA"/>
    <w:rsid w:val="00381155"/>
    <w:rsid w:val="0038334C"/>
    <w:rsid w:val="003837EF"/>
    <w:rsid w:val="003838F4"/>
    <w:rsid w:val="0038399C"/>
    <w:rsid w:val="00383B9B"/>
    <w:rsid w:val="00385123"/>
    <w:rsid w:val="00385BF2"/>
    <w:rsid w:val="00385EA4"/>
    <w:rsid w:val="00387E34"/>
    <w:rsid w:val="00390735"/>
    <w:rsid w:val="003923E9"/>
    <w:rsid w:val="0039255B"/>
    <w:rsid w:val="00392DFF"/>
    <w:rsid w:val="003930B6"/>
    <w:rsid w:val="003935C4"/>
    <w:rsid w:val="00394A4D"/>
    <w:rsid w:val="00395368"/>
    <w:rsid w:val="0039540C"/>
    <w:rsid w:val="0039542D"/>
    <w:rsid w:val="00396554"/>
    <w:rsid w:val="003968DD"/>
    <w:rsid w:val="00396E82"/>
    <w:rsid w:val="00396FCA"/>
    <w:rsid w:val="003978C8"/>
    <w:rsid w:val="003A0584"/>
    <w:rsid w:val="003A16B3"/>
    <w:rsid w:val="003A196A"/>
    <w:rsid w:val="003A21F6"/>
    <w:rsid w:val="003A2DD8"/>
    <w:rsid w:val="003A3963"/>
    <w:rsid w:val="003A4C12"/>
    <w:rsid w:val="003A55F6"/>
    <w:rsid w:val="003A64FD"/>
    <w:rsid w:val="003A6737"/>
    <w:rsid w:val="003A744D"/>
    <w:rsid w:val="003B001D"/>
    <w:rsid w:val="003B10C1"/>
    <w:rsid w:val="003B1277"/>
    <w:rsid w:val="003B19AD"/>
    <w:rsid w:val="003B19E3"/>
    <w:rsid w:val="003B1B5C"/>
    <w:rsid w:val="003B2298"/>
    <w:rsid w:val="003B34DA"/>
    <w:rsid w:val="003B5074"/>
    <w:rsid w:val="003B50B9"/>
    <w:rsid w:val="003B59D5"/>
    <w:rsid w:val="003B637D"/>
    <w:rsid w:val="003B681E"/>
    <w:rsid w:val="003B6AF7"/>
    <w:rsid w:val="003B724F"/>
    <w:rsid w:val="003B7DC4"/>
    <w:rsid w:val="003C1631"/>
    <w:rsid w:val="003C18A4"/>
    <w:rsid w:val="003C1BEE"/>
    <w:rsid w:val="003C2266"/>
    <w:rsid w:val="003C2DA5"/>
    <w:rsid w:val="003C30A6"/>
    <w:rsid w:val="003C315F"/>
    <w:rsid w:val="003C3D26"/>
    <w:rsid w:val="003C448C"/>
    <w:rsid w:val="003C5ACF"/>
    <w:rsid w:val="003C60A8"/>
    <w:rsid w:val="003C659A"/>
    <w:rsid w:val="003C75C2"/>
    <w:rsid w:val="003C76CA"/>
    <w:rsid w:val="003D0BFA"/>
    <w:rsid w:val="003D0DEC"/>
    <w:rsid w:val="003D12B3"/>
    <w:rsid w:val="003D1816"/>
    <w:rsid w:val="003D215D"/>
    <w:rsid w:val="003D30D1"/>
    <w:rsid w:val="003D3525"/>
    <w:rsid w:val="003D3EB9"/>
    <w:rsid w:val="003D6196"/>
    <w:rsid w:val="003D6AA0"/>
    <w:rsid w:val="003D6FC4"/>
    <w:rsid w:val="003D703D"/>
    <w:rsid w:val="003D7A6B"/>
    <w:rsid w:val="003E0CAC"/>
    <w:rsid w:val="003E208E"/>
    <w:rsid w:val="003E2547"/>
    <w:rsid w:val="003E3A0D"/>
    <w:rsid w:val="003E43EA"/>
    <w:rsid w:val="003E57C3"/>
    <w:rsid w:val="003E7122"/>
    <w:rsid w:val="003E77FB"/>
    <w:rsid w:val="003E780F"/>
    <w:rsid w:val="003F14BE"/>
    <w:rsid w:val="003F24D4"/>
    <w:rsid w:val="003F29E0"/>
    <w:rsid w:val="003F2C37"/>
    <w:rsid w:val="003F2D6C"/>
    <w:rsid w:val="003F406A"/>
    <w:rsid w:val="003F48BF"/>
    <w:rsid w:val="003F49A2"/>
    <w:rsid w:val="003F4B7B"/>
    <w:rsid w:val="003F4F2E"/>
    <w:rsid w:val="003F5041"/>
    <w:rsid w:val="003F5152"/>
    <w:rsid w:val="003F57D1"/>
    <w:rsid w:val="003F5A5E"/>
    <w:rsid w:val="003F74A7"/>
    <w:rsid w:val="00400AD2"/>
    <w:rsid w:val="00400D5D"/>
    <w:rsid w:val="004017B0"/>
    <w:rsid w:val="00401ABB"/>
    <w:rsid w:val="00401E67"/>
    <w:rsid w:val="004027F6"/>
    <w:rsid w:val="00402B1E"/>
    <w:rsid w:val="00403938"/>
    <w:rsid w:val="004048D8"/>
    <w:rsid w:val="00404FFF"/>
    <w:rsid w:val="00405B93"/>
    <w:rsid w:val="00406981"/>
    <w:rsid w:val="004073E3"/>
    <w:rsid w:val="004106B0"/>
    <w:rsid w:val="0041224B"/>
    <w:rsid w:val="00412284"/>
    <w:rsid w:val="0041236D"/>
    <w:rsid w:val="00412AF5"/>
    <w:rsid w:val="00413709"/>
    <w:rsid w:val="00415338"/>
    <w:rsid w:val="00415884"/>
    <w:rsid w:val="004168B6"/>
    <w:rsid w:val="00417916"/>
    <w:rsid w:val="00417988"/>
    <w:rsid w:val="00420A14"/>
    <w:rsid w:val="0042211A"/>
    <w:rsid w:val="00423AB1"/>
    <w:rsid w:val="00423ACC"/>
    <w:rsid w:val="00423B41"/>
    <w:rsid w:val="00423EDD"/>
    <w:rsid w:val="004246A5"/>
    <w:rsid w:val="004247B6"/>
    <w:rsid w:val="00424AE5"/>
    <w:rsid w:val="00424FCB"/>
    <w:rsid w:val="00425C38"/>
    <w:rsid w:val="0042712D"/>
    <w:rsid w:val="00427438"/>
    <w:rsid w:val="0043035E"/>
    <w:rsid w:val="00430614"/>
    <w:rsid w:val="00430F43"/>
    <w:rsid w:val="00430FCB"/>
    <w:rsid w:val="0043237E"/>
    <w:rsid w:val="004330E4"/>
    <w:rsid w:val="00434444"/>
    <w:rsid w:val="00434DE8"/>
    <w:rsid w:val="00435C4F"/>
    <w:rsid w:val="00436AB4"/>
    <w:rsid w:val="00436CB8"/>
    <w:rsid w:val="0044094E"/>
    <w:rsid w:val="00440F18"/>
    <w:rsid w:val="0044138F"/>
    <w:rsid w:val="0044189F"/>
    <w:rsid w:val="00442150"/>
    <w:rsid w:val="004421C7"/>
    <w:rsid w:val="00442E64"/>
    <w:rsid w:val="004432C0"/>
    <w:rsid w:val="004434AB"/>
    <w:rsid w:val="004435FA"/>
    <w:rsid w:val="00443E1D"/>
    <w:rsid w:val="00443E24"/>
    <w:rsid w:val="00443EE9"/>
    <w:rsid w:val="00445D61"/>
    <w:rsid w:val="004461CB"/>
    <w:rsid w:val="00446981"/>
    <w:rsid w:val="00447128"/>
    <w:rsid w:val="0044732A"/>
    <w:rsid w:val="00450149"/>
    <w:rsid w:val="004504C0"/>
    <w:rsid w:val="00450B72"/>
    <w:rsid w:val="00450DDB"/>
    <w:rsid w:val="00451600"/>
    <w:rsid w:val="0045166E"/>
    <w:rsid w:val="00452709"/>
    <w:rsid w:val="00453026"/>
    <w:rsid w:val="004539AA"/>
    <w:rsid w:val="00454728"/>
    <w:rsid w:val="00456C39"/>
    <w:rsid w:val="00456F03"/>
    <w:rsid w:val="00457B6D"/>
    <w:rsid w:val="004602F9"/>
    <w:rsid w:val="0046127B"/>
    <w:rsid w:val="00461669"/>
    <w:rsid w:val="00461B75"/>
    <w:rsid w:val="00461D7E"/>
    <w:rsid w:val="0046250A"/>
    <w:rsid w:val="004625E4"/>
    <w:rsid w:val="0046262B"/>
    <w:rsid w:val="004631AF"/>
    <w:rsid w:val="0046384C"/>
    <w:rsid w:val="004647B1"/>
    <w:rsid w:val="00464959"/>
    <w:rsid w:val="00464E6A"/>
    <w:rsid w:val="00464EE1"/>
    <w:rsid w:val="00465771"/>
    <w:rsid w:val="00466830"/>
    <w:rsid w:val="00466E22"/>
    <w:rsid w:val="00466F33"/>
    <w:rsid w:val="0047134E"/>
    <w:rsid w:val="0047174C"/>
    <w:rsid w:val="0047186B"/>
    <w:rsid w:val="00472876"/>
    <w:rsid w:val="004729B0"/>
    <w:rsid w:val="00472A0F"/>
    <w:rsid w:val="00474FD9"/>
    <w:rsid w:val="004750CE"/>
    <w:rsid w:val="00475CC6"/>
    <w:rsid w:val="00475F86"/>
    <w:rsid w:val="00476ACD"/>
    <w:rsid w:val="0047776E"/>
    <w:rsid w:val="00477A58"/>
    <w:rsid w:val="00480089"/>
    <w:rsid w:val="00480434"/>
    <w:rsid w:val="0048046B"/>
    <w:rsid w:val="00480F88"/>
    <w:rsid w:val="004818DD"/>
    <w:rsid w:val="0048228E"/>
    <w:rsid w:val="00482B2E"/>
    <w:rsid w:val="00483478"/>
    <w:rsid w:val="00483537"/>
    <w:rsid w:val="0048440B"/>
    <w:rsid w:val="004849DE"/>
    <w:rsid w:val="00484ECC"/>
    <w:rsid w:val="00484F7B"/>
    <w:rsid w:val="004860B6"/>
    <w:rsid w:val="00486670"/>
    <w:rsid w:val="0048673A"/>
    <w:rsid w:val="00486752"/>
    <w:rsid w:val="004867A9"/>
    <w:rsid w:val="00487220"/>
    <w:rsid w:val="0048723E"/>
    <w:rsid w:val="0049099D"/>
    <w:rsid w:val="00490B1D"/>
    <w:rsid w:val="0049135C"/>
    <w:rsid w:val="00491745"/>
    <w:rsid w:val="004917E0"/>
    <w:rsid w:val="00493CBE"/>
    <w:rsid w:val="00493FC3"/>
    <w:rsid w:val="00495310"/>
    <w:rsid w:val="004953E5"/>
    <w:rsid w:val="00495897"/>
    <w:rsid w:val="004A053C"/>
    <w:rsid w:val="004A060D"/>
    <w:rsid w:val="004A1F47"/>
    <w:rsid w:val="004A24B9"/>
    <w:rsid w:val="004A3FC1"/>
    <w:rsid w:val="004A41D0"/>
    <w:rsid w:val="004A426B"/>
    <w:rsid w:val="004A4357"/>
    <w:rsid w:val="004A455B"/>
    <w:rsid w:val="004A4689"/>
    <w:rsid w:val="004A46AA"/>
    <w:rsid w:val="004A47C7"/>
    <w:rsid w:val="004A4CED"/>
    <w:rsid w:val="004A704B"/>
    <w:rsid w:val="004A7577"/>
    <w:rsid w:val="004B0E7E"/>
    <w:rsid w:val="004B0EAE"/>
    <w:rsid w:val="004B150E"/>
    <w:rsid w:val="004B1810"/>
    <w:rsid w:val="004B43A3"/>
    <w:rsid w:val="004B445D"/>
    <w:rsid w:val="004B5BD5"/>
    <w:rsid w:val="004B5D26"/>
    <w:rsid w:val="004B5FAC"/>
    <w:rsid w:val="004B64C0"/>
    <w:rsid w:val="004B67FF"/>
    <w:rsid w:val="004B69C9"/>
    <w:rsid w:val="004B7045"/>
    <w:rsid w:val="004B77FC"/>
    <w:rsid w:val="004B7C3B"/>
    <w:rsid w:val="004C076B"/>
    <w:rsid w:val="004C0A26"/>
    <w:rsid w:val="004C1745"/>
    <w:rsid w:val="004C28D5"/>
    <w:rsid w:val="004C3658"/>
    <w:rsid w:val="004C5140"/>
    <w:rsid w:val="004C5FF7"/>
    <w:rsid w:val="004C7610"/>
    <w:rsid w:val="004C7805"/>
    <w:rsid w:val="004C7840"/>
    <w:rsid w:val="004C7AAB"/>
    <w:rsid w:val="004C7E0C"/>
    <w:rsid w:val="004C7E5D"/>
    <w:rsid w:val="004C7F25"/>
    <w:rsid w:val="004D0168"/>
    <w:rsid w:val="004D1069"/>
    <w:rsid w:val="004D26F7"/>
    <w:rsid w:val="004D306A"/>
    <w:rsid w:val="004D3812"/>
    <w:rsid w:val="004D5B07"/>
    <w:rsid w:val="004D6CD5"/>
    <w:rsid w:val="004D720F"/>
    <w:rsid w:val="004D7DBE"/>
    <w:rsid w:val="004E0B46"/>
    <w:rsid w:val="004E165C"/>
    <w:rsid w:val="004E1BF6"/>
    <w:rsid w:val="004E4A98"/>
    <w:rsid w:val="004E557E"/>
    <w:rsid w:val="004E5713"/>
    <w:rsid w:val="004E5BB1"/>
    <w:rsid w:val="004E6D5D"/>
    <w:rsid w:val="004E6EA0"/>
    <w:rsid w:val="004E7351"/>
    <w:rsid w:val="004F1235"/>
    <w:rsid w:val="004F1319"/>
    <w:rsid w:val="004F1D2B"/>
    <w:rsid w:val="004F26D4"/>
    <w:rsid w:val="004F3625"/>
    <w:rsid w:val="004F3741"/>
    <w:rsid w:val="004F3ED8"/>
    <w:rsid w:val="004F4D65"/>
    <w:rsid w:val="004F5DA9"/>
    <w:rsid w:val="004F5F5B"/>
    <w:rsid w:val="004F6311"/>
    <w:rsid w:val="005002E1"/>
    <w:rsid w:val="00500A9C"/>
    <w:rsid w:val="00501BEA"/>
    <w:rsid w:val="00502633"/>
    <w:rsid w:val="00503E8D"/>
    <w:rsid w:val="00503EAC"/>
    <w:rsid w:val="00504119"/>
    <w:rsid w:val="00504302"/>
    <w:rsid w:val="00505472"/>
    <w:rsid w:val="00505A89"/>
    <w:rsid w:val="00505AFD"/>
    <w:rsid w:val="00505CA1"/>
    <w:rsid w:val="00505F55"/>
    <w:rsid w:val="005068F8"/>
    <w:rsid w:val="00506DD2"/>
    <w:rsid w:val="005071F7"/>
    <w:rsid w:val="00507518"/>
    <w:rsid w:val="005077F7"/>
    <w:rsid w:val="00511581"/>
    <w:rsid w:val="00512861"/>
    <w:rsid w:val="00512EB3"/>
    <w:rsid w:val="0051326A"/>
    <w:rsid w:val="00513D94"/>
    <w:rsid w:val="0051583D"/>
    <w:rsid w:val="00515B96"/>
    <w:rsid w:val="0051664F"/>
    <w:rsid w:val="00517B24"/>
    <w:rsid w:val="00517DD5"/>
    <w:rsid w:val="005205C0"/>
    <w:rsid w:val="005210C6"/>
    <w:rsid w:val="00522C32"/>
    <w:rsid w:val="00524183"/>
    <w:rsid w:val="0052437D"/>
    <w:rsid w:val="00525013"/>
    <w:rsid w:val="00526B71"/>
    <w:rsid w:val="0052727C"/>
    <w:rsid w:val="00527891"/>
    <w:rsid w:val="00530199"/>
    <w:rsid w:val="0053060D"/>
    <w:rsid w:val="005312C4"/>
    <w:rsid w:val="005319C7"/>
    <w:rsid w:val="00532046"/>
    <w:rsid w:val="00532155"/>
    <w:rsid w:val="00533932"/>
    <w:rsid w:val="005349AB"/>
    <w:rsid w:val="00534B65"/>
    <w:rsid w:val="00534E79"/>
    <w:rsid w:val="00535249"/>
    <w:rsid w:val="005357B0"/>
    <w:rsid w:val="00536336"/>
    <w:rsid w:val="00536354"/>
    <w:rsid w:val="005363BF"/>
    <w:rsid w:val="0053642F"/>
    <w:rsid w:val="00536F3C"/>
    <w:rsid w:val="00537E48"/>
    <w:rsid w:val="00540E1C"/>
    <w:rsid w:val="00540E8B"/>
    <w:rsid w:val="00540EF2"/>
    <w:rsid w:val="00541BAB"/>
    <w:rsid w:val="0054224F"/>
    <w:rsid w:val="00543821"/>
    <w:rsid w:val="00543DD0"/>
    <w:rsid w:val="00544676"/>
    <w:rsid w:val="00544EC5"/>
    <w:rsid w:val="00544F0B"/>
    <w:rsid w:val="005469D6"/>
    <w:rsid w:val="00546A46"/>
    <w:rsid w:val="005473C6"/>
    <w:rsid w:val="00547D18"/>
    <w:rsid w:val="005502D0"/>
    <w:rsid w:val="0055091F"/>
    <w:rsid w:val="00550B60"/>
    <w:rsid w:val="0055127A"/>
    <w:rsid w:val="0055208F"/>
    <w:rsid w:val="00552507"/>
    <w:rsid w:val="00553AA4"/>
    <w:rsid w:val="005547CA"/>
    <w:rsid w:val="00555214"/>
    <w:rsid w:val="005552E7"/>
    <w:rsid w:val="00555BD7"/>
    <w:rsid w:val="005561AB"/>
    <w:rsid w:val="0055785A"/>
    <w:rsid w:val="00557A6C"/>
    <w:rsid w:val="00557C9C"/>
    <w:rsid w:val="00557D25"/>
    <w:rsid w:val="00557E4A"/>
    <w:rsid w:val="00560F75"/>
    <w:rsid w:val="005611DD"/>
    <w:rsid w:val="0056180E"/>
    <w:rsid w:val="00561DA7"/>
    <w:rsid w:val="00562DC3"/>
    <w:rsid w:val="00564021"/>
    <w:rsid w:val="005642AD"/>
    <w:rsid w:val="00564EC9"/>
    <w:rsid w:val="00565733"/>
    <w:rsid w:val="00565991"/>
    <w:rsid w:val="0056759E"/>
    <w:rsid w:val="00570164"/>
    <w:rsid w:val="0057017A"/>
    <w:rsid w:val="00571000"/>
    <w:rsid w:val="00571A39"/>
    <w:rsid w:val="00572C00"/>
    <w:rsid w:val="00574F27"/>
    <w:rsid w:val="005751E4"/>
    <w:rsid w:val="0057664A"/>
    <w:rsid w:val="005773C2"/>
    <w:rsid w:val="00580671"/>
    <w:rsid w:val="00580C1C"/>
    <w:rsid w:val="00580FAB"/>
    <w:rsid w:val="00581822"/>
    <w:rsid w:val="00582436"/>
    <w:rsid w:val="005833F3"/>
    <w:rsid w:val="00583714"/>
    <w:rsid w:val="00583CB3"/>
    <w:rsid w:val="00584017"/>
    <w:rsid w:val="005849D7"/>
    <w:rsid w:val="00584F3A"/>
    <w:rsid w:val="00584F92"/>
    <w:rsid w:val="00584FD3"/>
    <w:rsid w:val="00585A26"/>
    <w:rsid w:val="00585B46"/>
    <w:rsid w:val="00587D12"/>
    <w:rsid w:val="00587EDC"/>
    <w:rsid w:val="005903FE"/>
    <w:rsid w:val="00590957"/>
    <w:rsid w:val="00590D85"/>
    <w:rsid w:val="00590E96"/>
    <w:rsid w:val="00592717"/>
    <w:rsid w:val="005927F9"/>
    <w:rsid w:val="005928B7"/>
    <w:rsid w:val="00592AC6"/>
    <w:rsid w:val="00592BCD"/>
    <w:rsid w:val="0059435C"/>
    <w:rsid w:val="00594DE1"/>
    <w:rsid w:val="00595081"/>
    <w:rsid w:val="00595740"/>
    <w:rsid w:val="00597014"/>
    <w:rsid w:val="00597AEF"/>
    <w:rsid w:val="00597CFC"/>
    <w:rsid w:val="00597F88"/>
    <w:rsid w:val="005A019D"/>
    <w:rsid w:val="005A0746"/>
    <w:rsid w:val="005A0E64"/>
    <w:rsid w:val="005A227E"/>
    <w:rsid w:val="005A311B"/>
    <w:rsid w:val="005A34F1"/>
    <w:rsid w:val="005A545B"/>
    <w:rsid w:val="005A6835"/>
    <w:rsid w:val="005A70F5"/>
    <w:rsid w:val="005A7B3B"/>
    <w:rsid w:val="005B0C8A"/>
    <w:rsid w:val="005B150F"/>
    <w:rsid w:val="005B1648"/>
    <w:rsid w:val="005B1E6C"/>
    <w:rsid w:val="005B2A1C"/>
    <w:rsid w:val="005B39BD"/>
    <w:rsid w:val="005B4052"/>
    <w:rsid w:val="005B4080"/>
    <w:rsid w:val="005B4105"/>
    <w:rsid w:val="005B4448"/>
    <w:rsid w:val="005B4BC0"/>
    <w:rsid w:val="005B4C4A"/>
    <w:rsid w:val="005B4E04"/>
    <w:rsid w:val="005B52A7"/>
    <w:rsid w:val="005B5576"/>
    <w:rsid w:val="005B579E"/>
    <w:rsid w:val="005B5C4D"/>
    <w:rsid w:val="005B5DB3"/>
    <w:rsid w:val="005B68A2"/>
    <w:rsid w:val="005B6D88"/>
    <w:rsid w:val="005C0476"/>
    <w:rsid w:val="005C1750"/>
    <w:rsid w:val="005C1F2B"/>
    <w:rsid w:val="005C4072"/>
    <w:rsid w:val="005C4368"/>
    <w:rsid w:val="005C523D"/>
    <w:rsid w:val="005C641C"/>
    <w:rsid w:val="005C79FB"/>
    <w:rsid w:val="005C7E6A"/>
    <w:rsid w:val="005D061D"/>
    <w:rsid w:val="005D0850"/>
    <w:rsid w:val="005D0C8E"/>
    <w:rsid w:val="005D1E8D"/>
    <w:rsid w:val="005D20F5"/>
    <w:rsid w:val="005D2716"/>
    <w:rsid w:val="005D2A90"/>
    <w:rsid w:val="005D346C"/>
    <w:rsid w:val="005D35F1"/>
    <w:rsid w:val="005D35FE"/>
    <w:rsid w:val="005D4996"/>
    <w:rsid w:val="005D4DD7"/>
    <w:rsid w:val="005D4E71"/>
    <w:rsid w:val="005D5109"/>
    <w:rsid w:val="005D5122"/>
    <w:rsid w:val="005D582A"/>
    <w:rsid w:val="005D5A55"/>
    <w:rsid w:val="005D5EF4"/>
    <w:rsid w:val="005D5FE2"/>
    <w:rsid w:val="005D6167"/>
    <w:rsid w:val="005D74F8"/>
    <w:rsid w:val="005E007E"/>
    <w:rsid w:val="005E05C9"/>
    <w:rsid w:val="005E1BAA"/>
    <w:rsid w:val="005E334E"/>
    <w:rsid w:val="005E346E"/>
    <w:rsid w:val="005E37BF"/>
    <w:rsid w:val="005E469F"/>
    <w:rsid w:val="005E4715"/>
    <w:rsid w:val="005E4972"/>
    <w:rsid w:val="005E5389"/>
    <w:rsid w:val="005E5D9D"/>
    <w:rsid w:val="005E6568"/>
    <w:rsid w:val="005E7943"/>
    <w:rsid w:val="005F00E6"/>
    <w:rsid w:val="005F090A"/>
    <w:rsid w:val="005F1035"/>
    <w:rsid w:val="005F14C8"/>
    <w:rsid w:val="005F1AF0"/>
    <w:rsid w:val="005F1AF9"/>
    <w:rsid w:val="005F2A7C"/>
    <w:rsid w:val="005F2B0A"/>
    <w:rsid w:val="005F318A"/>
    <w:rsid w:val="005F5A67"/>
    <w:rsid w:val="005F638D"/>
    <w:rsid w:val="005F63E7"/>
    <w:rsid w:val="005F6EB3"/>
    <w:rsid w:val="005F747D"/>
    <w:rsid w:val="0060004C"/>
    <w:rsid w:val="00601ACF"/>
    <w:rsid w:val="0060322D"/>
    <w:rsid w:val="00603CC7"/>
    <w:rsid w:val="00603DB3"/>
    <w:rsid w:val="00603E1F"/>
    <w:rsid w:val="00604938"/>
    <w:rsid w:val="00605BD8"/>
    <w:rsid w:val="00605C47"/>
    <w:rsid w:val="006061A2"/>
    <w:rsid w:val="00607D6D"/>
    <w:rsid w:val="00607F00"/>
    <w:rsid w:val="0061020A"/>
    <w:rsid w:val="006118C2"/>
    <w:rsid w:val="00611EDB"/>
    <w:rsid w:val="0061259C"/>
    <w:rsid w:val="0061358A"/>
    <w:rsid w:val="00613DAA"/>
    <w:rsid w:val="00613FA0"/>
    <w:rsid w:val="00614FD8"/>
    <w:rsid w:val="006155DE"/>
    <w:rsid w:val="006159A8"/>
    <w:rsid w:val="00616D7E"/>
    <w:rsid w:val="00616DBF"/>
    <w:rsid w:val="00617918"/>
    <w:rsid w:val="0061794A"/>
    <w:rsid w:val="00620C61"/>
    <w:rsid w:val="00621472"/>
    <w:rsid w:val="0062162D"/>
    <w:rsid w:val="00621F7E"/>
    <w:rsid w:val="00622338"/>
    <w:rsid w:val="006230E3"/>
    <w:rsid w:val="0062396C"/>
    <w:rsid w:val="0062431A"/>
    <w:rsid w:val="006251D1"/>
    <w:rsid w:val="00626F05"/>
    <w:rsid w:val="006272C2"/>
    <w:rsid w:val="006272F6"/>
    <w:rsid w:val="0062748E"/>
    <w:rsid w:val="00627A35"/>
    <w:rsid w:val="00627E18"/>
    <w:rsid w:val="006302EB"/>
    <w:rsid w:val="00630F96"/>
    <w:rsid w:val="0063180B"/>
    <w:rsid w:val="006320EA"/>
    <w:rsid w:val="00632744"/>
    <w:rsid w:val="006329AF"/>
    <w:rsid w:val="00633EB2"/>
    <w:rsid w:val="00635D16"/>
    <w:rsid w:val="0063629A"/>
    <w:rsid w:val="006370FF"/>
    <w:rsid w:val="00637A96"/>
    <w:rsid w:val="00637B52"/>
    <w:rsid w:val="00640BF8"/>
    <w:rsid w:val="00640EA3"/>
    <w:rsid w:val="00641513"/>
    <w:rsid w:val="0064196D"/>
    <w:rsid w:val="00642111"/>
    <w:rsid w:val="0064294F"/>
    <w:rsid w:val="00642DFD"/>
    <w:rsid w:val="00644733"/>
    <w:rsid w:val="0064491D"/>
    <w:rsid w:val="00645162"/>
    <w:rsid w:val="0064542F"/>
    <w:rsid w:val="006468B1"/>
    <w:rsid w:val="00647294"/>
    <w:rsid w:val="0064755B"/>
    <w:rsid w:val="00651F5A"/>
    <w:rsid w:val="006522BE"/>
    <w:rsid w:val="0065276E"/>
    <w:rsid w:val="00653112"/>
    <w:rsid w:val="006549B9"/>
    <w:rsid w:val="00655BF5"/>
    <w:rsid w:val="00655FA7"/>
    <w:rsid w:val="0065696A"/>
    <w:rsid w:val="00657335"/>
    <w:rsid w:val="00657646"/>
    <w:rsid w:val="0065785D"/>
    <w:rsid w:val="00660740"/>
    <w:rsid w:val="00661529"/>
    <w:rsid w:val="00662B5E"/>
    <w:rsid w:val="00663677"/>
    <w:rsid w:val="00663D03"/>
    <w:rsid w:val="00663FFE"/>
    <w:rsid w:val="00664D00"/>
    <w:rsid w:val="00664E9A"/>
    <w:rsid w:val="006651C1"/>
    <w:rsid w:val="00666008"/>
    <w:rsid w:val="00666527"/>
    <w:rsid w:val="006668FD"/>
    <w:rsid w:val="00666B81"/>
    <w:rsid w:val="00667001"/>
    <w:rsid w:val="006674CF"/>
    <w:rsid w:val="006707EE"/>
    <w:rsid w:val="00670823"/>
    <w:rsid w:val="00671A3F"/>
    <w:rsid w:val="00672E4C"/>
    <w:rsid w:val="00673800"/>
    <w:rsid w:val="00675D25"/>
    <w:rsid w:val="006767CA"/>
    <w:rsid w:val="006769D8"/>
    <w:rsid w:val="00676DD3"/>
    <w:rsid w:val="00676ECF"/>
    <w:rsid w:val="00676FE1"/>
    <w:rsid w:val="00680121"/>
    <w:rsid w:val="00680707"/>
    <w:rsid w:val="00680A03"/>
    <w:rsid w:val="00681CD0"/>
    <w:rsid w:val="00681D95"/>
    <w:rsid w:val="00682AA7"/>
    <w:rsid w:val="00682D70"/>
    <w:rsid w:val="006833C7"/>
    <w:rsid w:val="0068360B"/>
    <w:rsid w:val="00683D33"/>
    <w:rsid w:val="006842AE"/>
    <w:rsid w:val="00685145"/>
    <w:rsid w:val="006851F7"/>
    <w:rsid w:val="006856D8"/>
    <w:rsid w:val="00685E58"/>
    <w:rsid w:val="00685ED9"/>
    <w:rsid w:val="006865BD"/>
    <w:rsid w:val="00687003"/>
    <w:rsid w:val="006870AD"/>
    <w:rsid w:val="0068738C"/>
    <w:rsid w:val="006873DA"/>
    <w:rsid w:val="00690359"/>
    <w:rsid w:val="006915B6"/>
    <w:rsid w:val="00691702"/>
    <w:rsid w:val="006926EC"/>
    <w:rsid w:val="00692B35"/>
    <w:rsid w:val="00692E3A"/>
    <w:rsid w:val="00693419"/>
    <w:rsid w:val="006943AF"/>
    <w:rsid w:val="0069477B"/>
    <w:rsid w:val="006959BC"/>
    <w:rsid w:val="00695D20"/>
    <w:rsid w:val="00696E9E"/>
    <w:rsid w:val="006970C6"/>
    <w:rsid w:val="006A067B"/>
    <w:rsid w:val="006A0B63"/>
    <w:rsid w:val="006A11D8"/>
    <w:rsid w:val="006A1245"/>
    <w:rsid w:val="006A15ED"/>
    <w:rsid w:val="006A2191"/>
    <w:rsid w:val="006A26E7"/>
    <w:rsid w:val="006A4280"/>
    <w:rsid w:val="006A5CB4"/>
    <w:rsid w:val="006A649E"/>
    <w:rsid w:val="006A6602"/>
    <w:rsid w:val="006A739B"/>
    <w:rsid w:val="006A7542"/>
    <w:rsid w:val="006A76AE"/>
    <w:rsid w:val="006A7AD0"/>
    <w:rsid w:val="006B02C5"/>
    <w:rsid w:val="006B0801"/>
    <w:rsid w:val="006B0D51"/>
    <w:rsid w:val="006B0F95"/>
    <w:rsid w:val="006B120A"/>
    <w:rsid w:val="006B180A"/>
    <w:rsid w:val="006B21E3"/>
    <w:rsid w:val="006B267A"/>
    <w:rsid w:val="006B26C4"/>
    <w:rsid w:val="006B2C81"/>
    <w:rsid w:val="006B3009"/>
    <w:rsid w:val="006B3224"/>
    <w:rsid w:val="006B5913"/>
    <w:rsid w:val="006B631C"/>
    <w:rsid w:val="006B744C"/>
    <w:rsid w:val="006B7479"/>
    <w:rsid w:val="006C2444"/>
    <w:rsid w:val="006C2CF0"/>
    <w:rsid w:val="006C2D59"/>
    <w:rsid w:val="006C44E6"/>
    <w:rsid w:val="006C4A01"/>
    <w:rsid w:val="006C5071"/>
    <w:rsid w:val="006C5388"/>
    <w:rsid w:val="006C5A1F"/>
    <w:rsid w:val="006C6372"/>
    <w:rsid w:val="006C6C1B"/>
    <w:rsid w:val="006C7A0D"/>
    <w:rsid w:val="006D2148"/>
    <w:rsid w:val="006D46A4"/>
    <w:rsid w:val="006D49CE"/>
    <w:rsid w:val="006D5094"/>
    <w:rsid w:val="006D5D6C"/>
    <w:rsid w:val="006D5FCF"/>
    <w:rsid w:val="006D7160"/>
    <w:rsid w:val="006D7805"/>
    <w:rsid w:val="006D7D34"/>
    <w:rsid w:val="006E022D"/>
    <w:rsid w:val="006E02E8"/>
    <w:rsid w:val="006E03DE"/>
    <w:rsid w:val="006E07E8"/>
    <w:rsid w:val="006E182D"/>
    <w:rsid w:val="006E1B56"/>
    <w:rsid w:val="006E2145"/>
    <w:rsid w:val="006E34CB"/>
    <w:rsid w:val="006E3772"/>
    <w:rsid w:val="006E379E"/>
    <w:rsid w:val="006E37A9"/>
    <w:rsid w:val="006E393E"/>
    <w:rsid w:val="006E4447"/>
    <w:rsid w:val="006E469E"/>
    <w:rsid w:val="006E5351"/>
    <w:rsid w:val="006E7153"/>
    <w:rsid w:val="006E7CE4"/>
    <w:rsid w:val="006E7D4E"/>
    <w:rsid w:val="006F03EB"/>
    <w:rsid w:val="006F05CC"/>
    <w:rsid w:val="006F1B4B"/>
    <w:rsid w:val="006F236B"/>
    <w:rsid w:val="006F2421"/>
    <w:rsid w:val="006F257A"/>
    <w:rsid w:val="006F29B0"/>
    <w:rsid w:val="006F2E2A"/>
    <w:rsid w:val="006F3114"/>
    <w:rsid w:val="006F3415"/>
    <w:rsid w:val="006F3E1B"/>
    <w:rsid w:val="006F4B30"/>
    <w:rsid w:val="006F4FA1"/>
    <w:rsid w:val="006F6260"/>
    <w:rsid w:val="006F6BDD"/>
    <w:rsid w:val="006F6BF8"/>
    <w:rsid w:val="00700331"/>
    <w:rsid w:val="007011AE"/>
    <w:rsid w:val="007012B4"/>
    <w:rsid w:val="007046DC"/>
    <w:rsid w:val="00704F02"/>
    <w:rsid w:val="00705086"/>
    <w:rsid w:val="00705260"/>
    <w:rsid w:val="00706026"/>
    <w:rsid w:val="007064B3"/>
    <w:rsid w:val="007066DD"/>
    <w:rsid w:val="007072E7"/>
    <w:rsid w:val="007103B4"/>
    <w:rsid w:val="007115AC"/>
    <w:rsid w:val="00711BC4"/>
    <w:rsid w:val="00712499"/>
    <w:rsid w:val="00712C81"/>
    <w:rsid w:val="007135D6"/>
    <w:rsid w:val="00713BCF"/>
    <w:rsid w:val="00714686"/>
    <w:rsid w:val="00714C5C"/>
    <w:rsid w:val="00716903"/>
    <w:rsid w:val="00716AEB"/>
    <w:rsid w:val="00720A19"/>
    <w:rsid w:val="00720A77"/>
    <w:rsid w:val="007212A1"/>
    <w:rsid w:val="007216D4"/>
    <w:rsid w:val="00721BAA"/>
    <w:rsid w:val="00721FD2"/>
    <w:rsid w:val="00722184"/>
    <w:rsid w:val="00722680"/>
    <w:rsid w:val="00722683"/>
    <w:rsid w:val="00725C92"/>
    <w:rsid w:val="00726201"/>
    <w:rsid w:val="00726260"/>
    <w:rsid w:val="00726A23"/>
    <w:rsid w:val="00726A80"/>
    <w:rsid w:val="007272AA"/>
    <w:rsid w:val="00727475"/>
    <w:rsid w:val="007305B5"/>
    <w:rsid w:val="00730741"/>
    <w:rsid w:val="00730CE6"/>
    <w:rsid w:val="007322B4"/>
    <w:rsid w:val="00732F84"/>
    <w:rsid w:val="00733665"/>
    <w:rsid w:val="007342FC"/>
    <w:rsid w:val="00734557"/>
    <w:rsid w:val="00734C0A"/>
    <w:rsid w:val="00734FCF"/>
    <w:rsid w:val="007357F3"/>
    <w:rsid w:val="00736025"/>
    <w:rsid w:val="007369E5"/>
    <w:rsid w:val="00736B55"/>
    <w:rsid w:val="007403FF"/>
    <w:rsid w:val="00741459"/>
    <w:rsid w:val="00741DC5"/>
    <w:rsid w:val="00742686"/>
    <w:rsid w:val="00742910"/>
    <w:rsid w:val="00742E05"/>
    <w:rsid w:val="0074300F"/>
    <w:rsid w:val="0074347F"/>
    <w:rsid w:val="007435F0"/>
    <w:rsid w:val="007435FD"/>
    <w:rsid w:val="0074403F"/>
    <w:rsid w:val="0074508F"/>
    <w:rsid w:val="00745457"/>
    <w:rsid w:val="0075001F"/>
    <w:rsid w:val="00750038"/>
    <w:rsid w:val="00750FC5"/>
    <w:rsid w:val="00751146"/>
    <w:rsid w:val="0075136E"/>
    <w:rsid w:val="0075205E"/>
    <w:rsid w:val="00752860"/>
    <w:rsid w:val="007538B6"/>
    <w:rsid w:val="0075509F"/>
    <w:rsid w:val="00755CA3"/>
    <w:rsid w:val="007565A5"/>
    <w:rsid w:val="00757378"/>
    <w:rsid w:val="00757B83"/>
    <w:rsid w:val="00757E70"/>
    <w:rsid w:val="007610E5"/>
    <w:rsid w:val="00761441"/>
    <w:rsid w:val="00762A53"/>
    <w:rsid w:val="00763816"/>
    <w:rsid w:val="0076386F"/>
    <w:rsid w:val="0076397A"/>
    <w:rsid w:val="0076436E"/>
    <w:rsid w:val="0076476B"/>
    <w:rsid w:val="00764D85"/>
    <w:rsid w:val="00765BCA"/>
    <w:rsid w:val="0076650F"/>
    <w:rsid w:val="00767784"/>
    <w:rsid w:val="00767B4E"/>
    <w:rsid w:val="00767B8F"/>
    <w:rsid w:val="00772047"/>
    <w:rsid w:val="007721F3"/>
    <w:rsid w:val="00772BA4"/>
    <w:rsid w:val="007737E1"/>
    <w:rsid w:val="00774506"/>
    <w:rsid w:val="0077498F"/>
    <w:rsid w:val="00774D6C"/>
    <w:rsid w:val="00774DB1"/>
    <w:rsid w:val="007755A0"/>
    <w:rsid w:val="007761AF"/>
    <w:rsid w:val="00776B1E"/>
    <w:rsid w:val="00777029"/>
    <w:rsid w:val="00777567"/>
    <w:rsid w:val="00777C28"/>
    <w:rsid w:val="00777F6C"/>
    <w:rsid w:val="0078137D"/>
    <w:rsid w:val="0078167F"/>
    <w:rsid w:val="007832FF"/>
    <w:rsid w:val="00783740"/>
    <w:rsid w:val="00783B92"/>
    <w:rsid w:val="00784373"/>
    <w:rsid w:val="007852B3"/>
    <w:rsid w:val="0078642D"/>
    <w:rsid w:val="00787598"/>
    <w:rsid w:val="00787DDB"/>
    <w:rsid w:val="0079069E"/>
    <w:rsid w:val="007906DF"/>
    <w:rsid w:val="0079118E"/>
    <w:rsid w:val="00791D6B"/>
    <w:rsid w:val="00792023"/>
    <w:rsid w:val="00792212"/>
    <w:rsid w:val="00792F2B"/>
    <w:rsid w:val="007931B4"/>
    <w:rsid w:val="00795D37"/>
    <w:rsid w:val="00797741"/>
    <w:rsid w:val="00797B35"/>
    <w:rsid w:val="00797B96"/>
    <w:rsid w:val="007A05CC"/>
    <w:rsid w:val="007A0B64"/>
    <w:rsid w:val="007A223A"/>
    <w:rsid w:val="007A279D"/>
    <w:rsid w:val="007A27D5"/>
    <w:rsid w:val="007A38CE"/>
    <w:rsid w:val="007A4680"/>
    <w:rsid w:val="007A52BE"/>
    <w:rsid w:val="007A5639"/>
    <w:rsid w:val="007A575A"/>
    <w:rsid w:val="007A5820"/>
    <w:rsid w:val="007A5C46"/>
    <w:rsid w:val="007A6A08"/>
    <w:rsid w:val="007A6A4F"/>
    <w:rsid w:val="007A717F"/>
    <w:rsid w:val="007A7291"/>
    <w:rsid w:val="007B1195"/>
    <w:rsid w:val="007B1223"/>
    <w:rsid w:val="007B1DC1"/>
    <w:rsid w:val="007B463D"/>
    <w:rsid w:val="007B47E4"/>
    <w:rsid w:val="007B482B"/>
    <w:rsid w:val="007B727C"/>
    <w:rsid w:val="007C0D98"/>
    <w:rsid w:val="007C18D7"/>
    <w:rsid w:val="007C266B"/>
    <w:rsid w:val="007C2DA3"/>
    <w:rsid w:val="007C33C0"/>
    <w:rsid w:val="007C49C2"/>
    <w:rsid w:val="007D0EE8"/>
    <w:rsid w:val="007D2D3A"/>
    <w:rsid w:val="007D31FB"/>
    <w:rsid w:val="007D3A85"/>
    <w:rsid w:val="007D471D"/>
    <w:rsid w:val="007D521A"/>
    <w:rsid w:val="007D6040"/>
    <w:rsid w:val="007D6F4E"/>
    <w:rsid w:val="007D7E28"/>
    <w:rsid w:val="007E2F44"/>
    <w:rsid w:val="007E3258"/>
    <w:rsid w:val="007E5AE6"/>
    <w:rsid w:val="007E5AED"/>
    <w:rsid w:val="007E5C03"/>
    <w:rsid w:val="007E64C7"/>
    <w:rsid w:val="007E6ACF"/>
    <w:rsid w:val="007E6EBF"/>
    <w:rsid w:val="007F039F"/>
    <w:rsid w:val="007F0963"/>
    <w:rsid w:val="007F0F9D"/>
    <w:rsid w:val="007F15A7"/>
    <w:rsid w:val="007F1DA1"/>
    <w:rsid w:val="007F2711"/>
    <w:rsid w:val="007F27C0"/>
    <w:rsid w:val="007F2A19"/>
    <w:rsid w:val="007F3831"/>
    <w:rsid w:val="007F4839"/>
    <w:rsid w:val="007F5BA9"/>
    <w:rsid w:val="007F5C6A"/>
    <w:rsid w:val="007F613C"/>
    <w:rsid w:val="007F6B03"/>
    <w:rsid w:val="007F7D89"/>
    <w:rsid w:val="00800241"/>
    <w:rsid w:val="00800E2B"/>
    <w:rsid w:val="008014FF"/>
    <w:rsid w:val="00801511"/>
    <w:rsid w:val="0080183D"/>
    <w:rsid w:val="008018CD"/>
    <w:rsid w:val="008019AC"/>
    <w:rsid w:val="008024D2"/>
    <w:rsid w:val="008024E7"/>
    <w:rsid w:val="00802ED5"/>
    <w:rsid w:val="00803182"/>
    <w:rsid w:val="00803B29"/>
    <w:rsid w:val="00805B3A"/>
    <w:rsid w:val="00805C4B"/>
    <w:rsid w:val="00806DED"/>
    <w:rsid w:val="00806F2B"/>
    <w:rsid w:val="00807440"/>
    <w:rsid w:val="00811397"/>
    <w:rsid w:val="0081226A"/>
    <w:rsid w:val="00812346"/>
    <w:rsid w:val="00812573"/>
    <w:rsid w:val="00812D6F"/>
    <w:rsid w:val="00812F0A"/>
    <w:rsid w:val="00812FD5"/>
    <w:rsid w:val="00813059"/>
    <w:rsid w:val="00814490"/>
    <w:rsid w:val="00814792"/>
    <w:rsid w:val="00815413"/>
    <w:rsid w:val="00815BBC"/>
    <w:rsid w:val="00815CAB"/>
    <w:rsid w:val="008161C2"/>
    <w:rsid w:val="0081693B"/>
    <w:rsid w:val="00816BF9"/>
    <w:rsid w:val="00817029"/>
    <w:rsid w:val="008177FB"/>
    <w:rsid w:val="00817E96"/>
    <w:rsid w:val="0082039B"/>
    <w:rsid w:val="008219F0"/>
    <w:rsid w:val="0082247D"/>
    <w:rsid w:val="008228EA"/>
    <w:rsid w:val="00823843"/>
    <w:rsid w:val="008240CD"/>
    <w:rsid w:val="008247D5"/>
    <w:rsid w:val="00824F2C"/>
    <w:rsid w:val="00825109"/>
    <w:rsid w:val="008253D3"/>
    <w:rsid w:val="00825444"/>
    <w:rsid w:val="00826444"/>
    <w:rsid w:val="0082663A"/>
    <w:rsid w:val="00826B4C"/>
    <w:rsid w:val="00826C7D"/>
    <w:rsid w:val="00826CC0"/>
    <w:rsid w:val="00827393"/>
    <w:rsid w:val="00827A0C"/>
    <w:rsid w:val="008306F3"/>
    <w:rsid w:val="0083074C"/>
    <w:rsid w:val="00830E2A"/>
    <w:rsid w:val="008310F8"/>
    <w:rsid w:val="00834002"/>
    <w:rsid w:val="00834886"/>
    <w:rsid w:val="00834C16"/>
    <w:rsid w:val="008356D3"/>
    <w:rsid w:val="008362DB"/>
    <w:rsid w:val="0083633B"/>
    <w:rsid w:val="00836F1E"/>
    <w:rsid w:val="0083781B"/>
    <w:rsid w:val="00840AB3"/>
    <w:rsid w:val="008410DB"/>
    <w:rsid w:val="00841968"/>
    <w:rsid w:val="00841E85"/>
    <w:rsid w:val="00842426"/>
    <w:rsid w:val="00842C84"/>
    <w:rsid w:val="00843EA1"/>
    <w:rsid w:val="008441AB"/>
    <w:rsid w:val="00844405"/>
    <w:rsid w:val="00844823"/>
    <w:rsid w:val="00845867"/>
    <w:rsid w:val="00845C2D"/>
    <w:rsid w:val="00846D11"/>
    <w:rsid w:val="008476DF"/>
    <w:rsid w:val="0085024B"/>
    <w:rsid w:val="00850B87"/>
    <w:rsid w:val="008512B1"/>
    <w:rsid w:val="00851D53"/>
    <w:rsid w:val="008520D9"/>
    <w:rsid w:val="008532B8"/>
    <w:rsid w:val="00853F65"/>
    <w:rsid w:val="008545B0"/>
    <w:rsid w:val="00854713"/>
    <w:rsid w:val="008552C3"/>
    <w:rsid w:val="00855380"/>
    <w:rsid w:val="00856B8F"/>
    <w:rsid w:val="00857411"/>
    <w:rsid w:val="0085788A"/>
    <w:rsid w:val="00860DA6"/>
    <w:rsid w:val="00860E97"/>
    <w:rsid w:val="00860EDC"/>
    <w:rsid w:val="00861936"/>
    <w:rsid w:val="00861CFB"/>
    <w:rsid w:val="00862AB1"/>
    <w:rsid w:val="00864676"/>
    <w:rsid w:val="00865152"/>
    <w:rsid w:val="008658F9"/>
    <w:rsid w:val="008668A3"/>
    <w:rsid w:val="00866F48"/>
    <w:rsid w:val="0087160F"/>
    <w:rsid w:val="0087175B"/>
    <w:rsid w:val="00871DDD"/>
    <w:rsid w:val="00871E87"/>
    <w:rsid w:val="0087288B"/>
    <w:rsid w:val="00872F73"/>
    <w:rsid w:val="008746AF"/>
    <w:rsid w:val="0087520C"/>
    <w:rsid w:val="00875E11"/>
    <w:rsid w:val="00876A31"/>
    <w:rsid w:val="00877F22"/>
    <w:rsid w:val="00880F88"/>
    <w:rsid w:val="00881B90"/>
    <w:rsid w:val="00881CEC"/>
    <w:rsid w:val="00882D04"/>
    <w:rsid w:val="00884A12"/>
    <w:rsid w:val="00884ED9"/>
    <w:rsid w:val="00885506"/>
    <w:rsid w:val="00885537"/>
    <w:rsid w:val="008855D6"/>
    <w:rsid w:val="008857F1"/>
    <w:rsid w:val="0088654A"/>
    <w:rsid w:val="00886A91"/>
    <w:rsid w:val="00887150"/>
    <w:rsid w:val="00887343"/>
    <w:rsid w:val="008874C4"/>
    <w:rsid w:val="00887D53"/>
    <w:rsid w:val="00887DB2"/>
    <w:rsid w:val="00890AA8"/>
    <w:rsid w:val="00891EC7"/>
    <w:rsid w:val="00892327"/>
    <w:rsid w:val="0089394B"/>
    <w:rsid w:val="00893A1D"/>
    <w:rsid w:val="008942B7"/>
    <w:rsid w:val="00894CC3"/>
    <w:rsid w:val="00897B12"/>
    <w:rsid w:val="008A05C9"/>
    <w:rsid w:val="008A141A"/>
    <w:rsid w:val="008A1EBE"/>
    <w:rsid w:val="008A1FC2"/>
    <w:rsid w:val="008A2AF8"/>
    <w:rsid w:val="008A331D"/>
    <w:rsid w:val="008A3AF4"/>
    <w:rsid w:val="008A3DB8"/>
    <w:rsid w:val="008A471E"/>
    <w:rsid w:val="008A51D3"/>
    <w:rsid w:val="008A573A"/>
    <w:rsid w:val="008A651E"/>
    <w:rsid w:val="008A6F3A"/>
    <w:rsid w:val="008A6FF5"/>
    <w:rsid w:val="008A7073"/>
    <w:rsid w:val="008A716A"/>
    <w:rsid w:val="008A7CE7"/>
    <w:rsid w:val="008A7DBA"/>
    <w:rsid w:val="008B146B"/>
    <w:rsid w:val="008B20F2"/>
    <w:rsid w:val="008B3795"/>
    <w:rsid w:val="008B3B6B"/>
    <w:rsid w:val="008B3D58"/>
    <w:rsid w:val="008B3E2A"/>
    <w:rsid w:val="008B4D04"/>
    <w:rsid w:val="008B56F9"/>
    <w:rsid w:val="008B5918"/>
    <w:rsid w:val="008B6D01"/>
    <w:rsid w:val="008B7738"/>
    <w:rsid w:val="008B7A4D"/>
    <w:rsid w:val="008C028C"/>
    <w:rsid w:val="008C0775"/>
    <w:rsid w:val="008C07C7"/>
    <w:rsid w:val="008C1024"/>
    <w:rsid w:val="008C1239"/>
    <w:rsid w:val="008C1240"/>
    <w:rsid w:val="008C1524"/>
    <w:rsid w:val="008C237E"/>
    <w:rsid w:val="008C2B8E"/>
    <w:rsid w:val="008C2E25"/>
    <w:rsid w:val="008C3010"/>
    <w:rsid w:val="008C3306"/>
    <w:rsid w:val="008C38A1"/>
    <w:rsid w:val="008C3AA5"/>
    <w:rsid w:val="008C4E68"/>
    <w:rsid w:val="008C5724"/>
    <w:rsid w:val="008C5D64"/>
    <w:rsid w:val="008C5E8A"/>
    <w:rsid w:val="008C5F4E"/>
    <w:rsid w:val="008C7ACC"/>
    <w:rsid w:val="008D0359"/>
    <w:rsid w:val="008D0800"/>
    <w:rsid w:val="008D41DF"/>
    <w:rsid w:val="008D4737"/>
    <w:rsid w:val="008D49BC"/>
    <w:rsid w:val="008D4AE9"/>
    <w:rsid w:val="008D5240"/>
    <w:rsid w:val="008D5CA7"/>
    <w:rsid w:val="008D5D71"/>
    <w:rsid w:val="008D5FFA"/>
    <w:rsid w:val="008D6039"/>
    <w:rsid w:val="008D65B1"/>
    <w:rsid w:val="008D6853"/>
    <w:rsid w:val="008D6AEC"/>
    <w:rsid w:val="008D7166"/>
    <w:rsid w:val="008D7A93"/>
    <w:rsid w:val="008E04CA"/>
    <w:rsid w:val="008E0EDD"/>
    <w:rsid w:val="008E22AA"/>
    <w:rsid w:val="008E27BE"/>
    <w:rsid w:val="008E2B33"/>
    <w:rsid w:val="008E44E4"/>
    <w:rsid w:val="008E4FCB"/>
    <w:rsid w:val="008E5834"/>
    <w:rsid w:val="008E67D5"/>
    <w:rsid w:val="008E731B"/>
    <w:rsid w:val="008E74AC"/>
    <w:rsid w:val="008E79C1"/>
    <w:rsid w:val="008E7A1A"/>
    <w:rsid w:val="008F0EA2"/>
    <w:rsid w:val="008F14BC"/>
    <w:rsid w:val="008F1F7A"/>
    <w:rsid w:val="008F2025"/>
    <w:rsid w:val="008F2915"/>
    <w:rsid w:val="008F34A6"/>
    <w:rsid w:val="008F46ED"/>
    <w:rsid w:val="008F5429"/>
    <w:rsid w:val="008F54CC"/>
    <w:rsid w:val="008F595B"/>
    <w:rsid w:val="008F5CC5"/>
    <w:rsid w:val="008F60EE"/>
    <w:rsid w:val="008F6506"/>
    <w:rsid w:val="008F6530"/>
    <w:rsid w:val="008F73C5"/>
    <w:rsid w:val="008F7F6C"/>
    <w:rsid w:val="009000B6"/>
    <w:rsid w:val="009002F2"/>
    <w:rsid w:val="00901484"/>
    <w:rsid w:val="00901754"/>
    <w:rsid w:val="00901C78"/>
    <w:rsid w:val="00903559"/>
    <w:rsid w:val="0090434E"/>
    <w:rsid w:val="009056DF"/>
    <w:rsid w:val="009057BA"/>
    <w:rsid w:val="00905C1D"/>
    <w:rsid w:val="0090607E"/>
    <w:rsid w:val="009064A9"/>
    <w:rsid w:val="009069BB"/>
    <w:rsid w:val="00907092"/>
    <w:rsid w:val="00907595"/>
    <w:rsid w:val="00907F0B"/>
    <w:rsid w:val="00910145"/>
    <w:rsid w:val="00912D2E"/>
    <w:rsid w:val="00912FEE"/>
    <w:rsid w:val="0091392B"/>
    <w:rsid w:val="00913C45"/>
    <w:rsid w:val="0091529C"/>
    <w:rsid w:val="00915495"/>
    <w:rsid w:val="00915B51"/>
    <w:rsid w:val="009200A5"/>
    <w:rsid w:val="00921BE5"/>
    <w:rsid w:val="00922393"/>
    <w:rsid w:val="00922500"/>
    <w:rsid w:val="00923023"/>
    <w:rsid w:val="009230B1"/>
    <w:rsid w:val="00923A31"/>
    <w:rsid w:val="00923CF5"/>
    <w:rsid w:val="00924CF9"/>
    <w:rsid w:val="00925E09"/>
    <w:rsid w:val="00926B2F"/>
    <w:rsid w:val="009278E9"/>
    <w:rsid w:val="00927D22"/>
    <w:rsid w:val="00927F3D"/>
    <w:rsid w:val="00930FDA"/>
    <w:rsid w:val="0093250B"/>
    <w:rsid w:val="00933690"/>
    <w:rsid w:val="00933EE2"/>
    <w:rsid w:val="00934687"/>
    <w:rsid w:val="00934F02"/>
    <w:rsid w:val="0093504D"/>
    <w:rsid w:val="00935A83"/>
    <w:rsid w:val="00935FF0"/>
    <w:rsid w:val="009360F1"/>
    <w:rsid w:val="00937E10"/>
    <w:rsid w:val="00940468"/>
    <w:rsid w:val="009405E7"/>
    <w:rsid w:val="00941B23"/>
    <w:rsid w:val="00941F18"/>
    <w:rsid w:val="00941F84"/>
    <w:rsid w:val="00942759"/>
    <w:rsid w:val="00943D49"/>
    <w:rsid w:val="00943ED8"/>
    <w:rsid w:val="00944C2B"/>
    <w:rsid w:val="00944E3C"/>
    <w:rsid w:val="00945735"/>
    <w:rsid w:val="00945999"/>
    <w:rsid w:val="0094696B"/>
    <w:rsid w:val="00947A1A"/>
    <w:rsid w:val="00947FE4"/>
    <w:rsid w:val="009500E3"/>
    <w:rsid w:val="009519AC"/>
    <w:rsid w:val="00953BED"/>
    <w:rsid w:val="00954399"/>
    <w:rsid w:val="00954982"/>
    <w:rsid w:val="00954E8F"/>
    <w:rsid w:val="0095634B"/>
    <w:rsid w:val="009569A4"/>
    <w:rsid w:val="0095708D"/>
    <w:rsid w:val="00961AC6"/>
    <w:rsid w:val="00961EB9"/>
    <w:rsid w:val="00961FEC"/>
    <w:rsid w:val="009622E4"/>
    <w:rsid w:val="00962775"/>
    <w:rsid w:val="00963376"/>
    <w:rsid w:val="00963947"/>
    <w:rsid w:val="00963F1B"/>
    <w:rsid w:val="00963F7D"/>
    <w:rsid w:val="009646B9"/>
    <w:rsid w:val="00964F44"/>
    <w:rsid w:val="00965B07"/>
    <w:rsid w:val="00965D64"/>
    <w:rsid w:val="0096671B"/>
    <w:rsid w:val="00967095"/>
    <w:rsid w:val="009676F0"/>
    <w:rsid w:val="00970682"/>
    <w:rsid w:val="00970FC5"/>
    <w:rsid w:val="009711EF"/>
    <w:rsid w:val="00972BC8"/>
    <w:rsid w:val="009731DC"/>
    <w:rsid w:val="00973CE8"/>
    <w:rsid w:val="00973CF7"/>
    <w:rsid w:val="00974690"/>
    <w:rsid w:val="0097519B"/>
    <w:rsid w:val="009753C6"/>
    <w:rsid w:val="00975715"/>
    <w:rsid w:val="00975CB1"/>
    <w:rsid w:val="00975F10"/>
    <w:rsid w:val="009765AA"/>
    <w:rsid w:val="00976ADE"/>
    <w:rsid w:val="00980D2D"/>
    <w:rsid w:val="00980DE4"/>
    <w:rsid w:val="009824E1"/>
    <w:rsid w:val="00982A64"/>
    <w:rsid w:val="00982E9E"/>
    <w:rsid w:val="009842A3"/>
    <w:rsid w:val="00985439"/>
    <w:rsid w:val="00985E8C"/>
    <w:rsid w:val="00985F7E"/>
    <w:rsid w:val="00986984"/>
    <w:rsid w:val="00986B8B"/>
    <w:rsid w:val="00986BFC"/>
    <w:rsid w:val="00986DF9"/>
    <w:rsid w:val="00987AFA"/>
    <w:rsid w:val="00987FDC"/>
    <w:rsid w:val="009902C8"/>
    <w:rsid w:val="009904A4"/>
    <w:rsid w:val="00992C1B"/>
    <w:rsid w:val="00992D53"/>
    <w:rsid w:val="00993F99"/>
    <w:rsid w:val="00993FAA"/>
    <w:rsid w:val="0099419D"/>
    <w:rsid w:val="00994721"/>
    <w:rsid w:val="009949A4"/>
    <w:rsid w:val="00994F79"/>
    <w:rsid w:val="00995660"/>
    <w:rsid w:val="0099596F"/>
    <w:rsid w:val="0099731C"/>
    <w:rsid w:val="009977CD"/>
    <w:rsid w:val="009A0A7B"/>
    <w:rsid w:val="009A1CFB"/>
    <w:rsid w:val="009A213D"/>
    <w:rsid w:val="009A3861"/>
    <w:rsid w:val="009A397F"/>
    <w:rsid w:val="009A39A7"/>
    <w:rsid w:val="009A3B1B"/>
    <w:rsid w:val="009A43F5"/>
    <w:rsid w:val="009A47E3"/>
    <w:rsid w:val="009A4B8B"/>
    <w:rsid w:val="009A4CFB"/>
    <w:rsid w:val="009A5634"/>
    <w:rsid w:val="009A6189"/>
    <w:rsid w:val="009A6400"/>
    <w:rsid w:val="009A6F20"/>
    <w:rsid w:val="009A6F4A"/>
    <w:rsid w:val="009A707A"/>
    <w:rsid w:val="009A744E"/>
    <w:rsid w:val="009A7AF1"/>
    <w:rsid w:val="009B04B3"/>
    <w:rsid w:val="009B09FE"/>
    <w:rsid w:val="009B149D"/>
    <w:rsid w:val="009B1EF7"/>
    <w:rsid w:val="009B2067"/>
    <w:rsid w:val="009B2161"/>
    <w:rsid w:val="009B2B22"/>
    <w:rsid w:val="009B2CE3"/>
    <w:rsid w:val="009B35A8"/>
    <w:rsid w:val="009B43C8"/>
    <w:rsid w:val="009B57FC"/>
    <w:rsid w:val="009B5826"/>
    <w:rsid w:val="009B6A02"/>
    <w:rsid w:val="009B6BAA"/>
    <w:rsid w:val="009B703E"/>
    <w:rsid w:val="009B7509"/>
    <w:rsid w:val="009B76B3"/>
    <w:rsid w:val="009B7ADC"/>
    <w:rsid w:val="009C01A1"/>
    <w:rsid w:val="009C16F6"/>
    <w:rsid w:val="009C3A8D"/>
    <w:rsid w:val="009C43CE"/>
    <w:rsid w:val="009C47C5"/>
    <w:rsid w:val="009C4DA5"/>
    <w:rsid w:val="009C5060"/>
    <w:rsid w:val="009C548D"/>
    <w:rsid w:val="009C5974"/>
    <w:rsid w:val="009C5B40"/>
    <w:rsid w:val="009C730D"/>
    <w:rsid w:val="009C7C64"/>
    <w:rsid w:val="009C7E32"/>
    <w:rsid w:val="009D0773"/>
    <w:rsid w:val="009D1153"/>
    <w:rsid w:val="009D231A"/>
    <w:rsid w:val="009D4575"/>
    <w:rsid w:val="009D6130"/>
    <w:rsid w:val="009D660D"/>
    <w:rsid w:val="009E09D8"/>
    <w:rsid w:val="009E1E16"/>
    <w:rsid w:val="009E219F"/>
    <w:rsid w:val="009E2253"/>
    <w:rsid w:val="009E2CDA"/>
    <w:rsid w:val="009E4158"/>
    <w:rsid w:val="009E46F7"/>
    <w:rsid w:val="009E4C34"/>
    <w:rsid w:val="009E5CD1"/>
    <w:rsid w:val="009E681D"/>
    <w:rsid w:val="009E79F8"/>
    <w:rsid w:val="009F08D7"/>
    <w:rsid w:val="009F0C1E"/>
    <w:rsid w:val="009F0D7D"/>
    <w:rsid w:val="009F2C67"/>
    <w:rsid w:val="009F3411"/>
    <w:rsid w:val="009F3E1C"/>
    <w:rsid w:val="009F3F4B"/>
    <w:rsid w:val="009F4BE3"/>
    <w:rsid w:val="009F5E37"/>
    <w:rsid w:val="009F5FB5"/>
    <w:rsid w:val="009F62AE"/>
    <w:rsid w:val="009F67BD"/>
    <w:rsid w:val="009F680A"/>
    <w:rsid w:val="009F741B"/>
    <w:rsid w:val="009F743D"/>
    <w:rsid w:val="009F74EE"/>
    <w:rsid w:val="009F7C7E"/>
    <w:rsid w:val="009F7E35"/>
    <w:rsid w:val="00A01010"/>
    <w:rsid w:val="00A02382"/>
    <w:rsid w:val="00A03A77"/>
    <w:rsid w:val="00A03B0A"/>
    <w:rsid w:val="00A03CE7"/>
    <w:rsid w:val="00A04094"/>
    <w:rsid w:val="00A0447D"/>
    <w:rsid w:val="00A0515E"/>
    <w:rsid w:val="00A0516C"/>
    <w:rsid w:val="00A06023"/>
    <w:rsid w:val="00A06230"/>
    <w:rsid w:val="00A07228"/>
    <w:rsid w:val="00A11169"/>
    <w:rsid w:val="00A12879"/>
    <w:rsid w:val="00A128F0"/>
    <w:rsid w:val="00A1310C"/>
    <w:rsid w:val="00A13A44"/>
    <w:rsid w:val="00A13C97"/>
    <w:rsid w:val="00A13E21"/>
    <w:rsid w:val="00A1412C"/>
    <w:rsid w:val="00A14624"/>
    <w:rsid w:val="00A146D4"/>
    <w:rsid w:val="00A14FC0"/>
    <w:rsid w:val="00A1583E"/>
    <w:rsid w:val="00A1623E"/>
    <w:rsid w:val="00A16950"/>
    <w:rsid w:val="00A169FA"/>
    <w:rsid w:val="00A16AB9"/>
    <w:rsid w:val="00A200BB"/>
    <w:rsid w:val="00A2067A"/>
    <w:rsid w:val="00A21783"/>
    <w:rsid w:val="00A21AEE"/>
    <w:rsid w:val="00A21C9C"/>
    <w:rsid w:val="00A21CAD"/>
    <w:rsid w:val="00A22DBC"/>
    <w:rsid w:val="00A2323B"/>
    <w:rsid w:val="00A25AB3"/>
    <w:rsid w:val="00A27586"/>
    <w:rsid w:val="00A27CD8"/>
    <w:rsid w:val="00A30926"/>
    <w:rsid w:val="00A31752"/>
    <w:rsid w:val="00A3186A"/>
    <w:rsid w:val="00A318EB"/>
    <w:rsid w:val="00A31DC0"/>
    <w:rsid w:val="00A33B33"/>
    <w:rsid w:val="00A340C4"/>
    <w:rsid w:val="00A34716"/>
    <w:rsid w:val="00A359C9"/>
    <w:rsid w:val="00A3681F"/>
    <w:rsid w:val="00A37018"/>
    <w:rsid w:val="00A370CD"/>
    <w:rsid w:val="00A3743A"/>
    <w:rsid w:val="00A377CD"/>
    <w:rsid w:val="00A4120F"/>
    <w:rsid w:val="00A423B6"/>
    <w:rsid w:val="00A42679"/>
    <w:rsid w:val="00A42762"/>
    <w:rsid w:val="00A42832"/>
    <w:rsid w:val="00A4284F"/>
    <w:rsid w:val="00A43039"/>
    <w:rsid w:val="00A43FB6"/>
    <w:rsid w:val="00A44276"/>
    <w:rsid w:val="00A4496F"/>
    <w:rsid w:val="00A44ABC"/>
    <w:rsid w:val="00A4676A"/>
    <w:rsid w:val="00A4714B"/>
    <w:rsid w:val="00A474E4"/>
    <w:rsid w:val="00A47BEA"/>
    <w:rsid w:val="00A50AAC"/>
    <w:rsid w:val="00A50BA4"/>
    <w:rsid w:val="00A50F0E"/>
    <w:rsid w:val="00A5186E"/>
    <w:rsid w:val="00A51B30"/>
    <w:rsid w:val="00A51D69"/>
    <w:rsid w:val="00A52359"/>
    <w:rsid w:val="00A526A9"/>
    <w:rsid w:val="00A52E63"/>
    <w:rsid w:val="00A53425"/>
    <w:rsid w:val="00A53D87"/>
    <w:rsid w:val="00A53DB5"/>
    <w:rsid w:val="00A5453E"/>
    <w:rsid w:val="00A54736"/>
    <w:rsid w:val="00A54B0D"/>
    <w:rsid w:val="00A552AC"/>
    <w:rsid w:val="00A55BAC"/>
    <w:rsid w:val="00A560F3"/>
    <w:rsid w:val="00A56A63"/>
    <w:rsid w:val="00A56BE8"/>
    <w:rsid w:val="00A56EE3"/>
    <w:rsid w:val="00A577DB"/>
    <w:rsid w:val="00A5786E"/>
    <w:rsid w:val="00A60327"/>
    <w:rsid w:val="00A60BBF"/>
    <w:rsid w:val="00A60F10"/>
    <w:rsid w:val="00A6114B"/>
    <w:rsid w:val="00A61228"/>
    <w:rsid w:val="00A61574"/>
    <w:rsid w:val="00A6184B"/>
    <w:rsid w:val="00A6354E"/>
    <w:rsid w:val="00A63C57"/>
    <w:rsid w:val="00A64BD4"/>
    <w:rsid w:val="00A655A3"/>
    <w:rsid w:val="00A656AB"/>
    <w:rsid w:val="00A65B77"/>
    <w:rsid w:val="00A65FD4"/>
    <w:rsid w:val="00A6681A"/>
    <w:rsid w:val="00A679F4"/>
    <w:rsid w:val="00A715E2"/>
    <w:rsid w:val="00A7199A"/>
    <w:rsid w:val="00A71A2C"/>
    <w:rsid w:val="00A71AC8"/>
    <w:rsid w:val="00A732A3"/>
    <w:rsid w:val="00A73686"/>
    <w:rsid w:val="00A737E4"/>
    <w:rsid w:val="00A73C6E"/>
    <w:rsid w:val="00A73E6A"/>
    <w:rsid w:val="00A73E7F"/>
    <w:rsid w:val="00A74ED4"/>
    <w:rsid w:val="00A7553E"/>
    <w:rsid w:val="00A757BC"/>
    <w:rsid w:val="00A758FB"/>
    <w:rsid w:val="00A76181"/>
    <w:rsid w:val="00A7630D"/>
    <w:rsid w:val="00A7640A"/>
    <w:rsid w:val="00A775F8"/>
    <w:rsid w:val="00A806FC"/>
    <w:rsid w:val="00A80E02"/>
    <w:rsid w:val="00A810DD"/>
    <w:rsid w:val="00A8117F"/>
    <w:rsid w:val="00A81594"/>
    <w:rsid w:val="00A8179A"/>
    <w:rsid w:val="00A8189E"/>
    <w:rsid w:val="00A818E4"/>
    <w:rsid w:val="00A82442"/>
    <w:rsid w:val="00A83058"/>
    <w:rsid w:val="00A83E0F"/>
    <w:rsid w:val="00A85FE3"/>
    <w:rsid w:val="00A86ACB"/>
    <w:rsid w:val="00A86F52"/>
    <w:rsid w:val="00A8787A"/>
    <w:rsid w:val="00A90834"/>
    <w:rsid w:val="00A912AA"/>
    <w:rsid w:val="00A91FD3"/>
    <w:rsid w:val="00A92456"/>
    <w:rsid w:val="00A932B1"/>
    <w:rsid w:val="00A93572"/>
    <w:rsid w:val="00A93743"/>
    <w:rsid w:val="00A93FE2"/>
    <w:rsid w:val="00A94169"/>
    <w:rsid w:val="00A94341"/>
    <w:rsid w:val="00A943CB"/>
    <w:rsid w:val="00A94584"/>
    <w:rsid w:val="00A945E2"/>
    <w:rsid w:val="00A955FD"/>
    <w:rsid w:val="00A95EC1"/>
    <w:rsid w:val="00A9624F"/>
    <w:rsid w:val="00A9639F"/>
    <w:rsid w:val="00A97370"/>
    <w:rsid w:val="00A974F7"/>
    <w:rsid w:val="00A978F3"/>
    <w:rsid w:val="00A97F64"/>
    <w:rsid w:val="00AA034A"/>
    <w:rsid w:val="00AA0387"/>
    <w:rsid w:val="00AA0A92"/>
    <w:rsid w:val="00AA0BD6"/>
    <w:rsid w:val="00AA1C78"/>
    <w:rsid w:val="00AA2C95"/>
    <w:rsid w:val="00AA2DB2"/>
    <w:rsid w:val="00AA3193"/>
    <w:rsid w:val="00AA4400"/>
    <w:rsid w:val="00AA4480"/>
    <w:rsid w:val="00AA47D8"/>
    <w:rsid w:val="00AA48BE"/>
    <w:rsid w:val="00AA5078"/>
    <w:rsid w:val="00AA546B"/>
    <w:rsid w:val="00AA6406"/>
    <w:rsid w:val="00AA65D6"/>
    <w:rsid w:val="00AA6638"/>
    <w:rsid w:val="00AA6D4B"/>
    <w:rsid w:val="00AA7354"/>
    <w:rsid w:val="00AA78B0"/>
    <w:rsid w:val="00AA7C29"/>
    <w:rsid w:val="00AB33AC"/>
    <w:rsid w:val="00AB48AC"/>
    <w:rsid w:val="00AB4F96"/>
    <w:rsid w:val="00AB6D17"/>
    <w:rsid w:val="00AB77C5"/>
    <w:rsid w:val="00AC01F5"/>
    <w:rsid w:val="00AC2661"/>
    <w:rsid w:val="00AC2A5C"/>
    <w:rsid w:val="00AC4076"/>
    <w:rsid w:val="00AC4115"/>
    <w:rsid w:val="00AC42B1"/>
    <w:rsid w:val="00AC469A"/>
    <w:rsid w:val="00AC548D"/>
    <w:rsid w:val="00AC58DC"/>
    <w:rsid w:val="00AC6CF4"/>
    <w:rsid w:val="00AC76BE"/>
    <w:rsid w:val="00AC7FC1"/>
    <w:rsid w:val="00AD0866"/>
    <w:rsid w:val="00AD2510"/>
    <w:rsid w:val="00AD29B1"/>
    <w:rsid w:val="00AD3271"/>
    <w:rsid w:val="00AD43CC"/>
    <w:rsid w:val="00AD4C56"/>
    <w:rsid w:val="00AD4D49"/>
    <w:rsid w:val="00AD4E99"/>
    <w:rsid w:val="00AD53C2"/>
    <w:rsid w:val="00AD5B8D"/>
    <w:rsid w:val="00AD5CB2"/>
    <w:rsid w:val="00AD605E"/>
    <w:rsid w:val="00AD70A7"/>
    <w:rsid w:val="00AD79E5"/>
    <w:rsid w:val="00AD7B03"/>
    <w:rsid w:val="00AE1181"/>
    <w:rsid w:val="00AE13A3"/>
    <w:rsid w:val="00AE13C4"/>
    <w:rsid w:val="00AE1934"/>
    <w:rsid w:val="00AE222F"/>
    <w:rsid w:val="00AE4252"/>
    <w:rsid w:val="00AE4A4C"/>
    <w:rsid w:val="00AE4EB6"/>
    <w:rsid w:val="00AE51FC"/>
    <w:rsid w:val="00AE5C3D"/>
    <w:rsid w:val="00AE66FF"/>
    <w:rsid w:val="00AE67B5"/>
    <w:rsid w:val="00AE67F4"/>
    <w:rsid w:val="00AE71EC"/>
    <w:rsid w:val="00AE7214"/>
    <w:rsid w:val="00AE7ED1"/>
    <w:rsid w:val="00AF14A8"/>
    <w:rsid w:val="00AF1BB5"/>
    <w:rsid w:val="00AF2FF9"/>
    <w:rsid w:val="00AF452D"/>
    <w:rsid w:val="00AF47E7"/>
    <w:rsid w:val="00AF54CB"/>
    <w:rsid w:val="00AF5607"/>
    <w:rsid w:val="00AF628F"/>
    <w:rsid w:val="00AF6C26"/>
    <w:rsid w:val="00AF7711"/>
    <w:rsid w:val="00AF7DDC"/>
    <w:rsid w:val="00AF7EB6"/>
    <w:rsid w:val="00B005F0"/>
    <w:rsid w:val="00B00ECF"/>
    <w:rsid w:val="00B021E6"/>
    <w:rsid w:val="00B023C8"/>
    <w:rsid w:val="00B02419"/>
    <w:rsid w:val="00B02721"/>
    <w:rsid w:val="00B028A0"/>
    <w:rsid w:val="00B03880"/>
    <w:rsid w:val="00B03CA4"/>
    <w:rsid w:val="00B05479"/>
    <w:rsid w:val="00B061A0"/>
    <w:rsid w:val="00B06214"/>
    <w:rsid w:val="00B068F6"/>
    <w:rsid w:val="00B07CA0"/>
    <w:rsid w:val="00B108FE"/>
    <w:rsid w:val="00B11D2A"/>
    <w:rsid w:val="00B12136"/>
    <w:rsid w:val="00B1214F"/>
    <w:rsid w:val="00B12364"/>
    <w:rsid w:val="00B12E1C"/>
    <w:rsid w:val="00B13DB7"/>
    <w:rsid w:val="00B13E1F"/>
    <w:rsid w:val="00B13EEF"/>
    <w:rsid w:val="00B147D5"/>
    <w:rsid w:val="00B1584E"/>
    <w:rsid w:val="00B159EE"/>
    <w:rsid w:val="00B15B4A"/>
    <w:rsid w:val="00B16402"/>
    <w:rsid w:val="00B17431"/>
    <w:rsid w:val="00B17787"/>
    <w:rsid w:val="00B17B3D"/>
    <w:rsid w:val="00B20313"/>
    <w:rsid w:val="00B210F7"/>
    <w:rsid w:val="00B21151"/>
    <w:rsid w:val="00B2126E"/>
    <w:rsid w:val="00B21A45"/>
    <w:rsid w:val="00B22387"/>
    <w:rsid w:val="00B23793"/>
    <w:rsid w:val="00B24AE1"/>
    <w:rsid w:val="00B259C2"/>
    <w:rsid w:val="00B259C8"/>
    <w:rsid w:val="00B31481"/>
    <w:rsid w:val="00B3196A"/>
    <w:rsid w:val="00B322AB"/>
    <w:rsid w:val="00B32F9C"/>
    <w:rsid w:val="00B33F03"/>
    <w:rsid w:val="00B352D4"/>
    <w:rsid w:val="00B35D55"/>
    <w:rsid w:val="00B35FA1"/>
    <w:rsid w:val="00B35FC3"/>
    <w:rsid w:val="00B365C4"/>
    <w:rsid w:val="00B37165"/>
    <w:rsid w:val="00B40221"/>
    <w:rsid w:val="00B4027A"/>
    <w:rsid w:val="00B4095D"/>
    <w:rsid w:val="00B40A44"/>
    <w:rsid w:val="00B40C3E"/>
    <w:rsid w:val="00B40CDE"/>
    <w:rsid w:val="00B40E0E"/>
    <w:rsid w:val="00B411A8"/>
    <w:rsid w:val="00B411B0"/>
    <w:rsid w:val="00B43B6F"/>
    <w:rsid w:val="00B43D7D"/>
    <w:rsid w:val="00B44981"/>
    <w:rsid w:val="00B46063"/>
    <w:rsid w:val="00B46B60"/>
    <w:rsid w:val="00B46C08"/>
    <w:rsid w:val="00B518A6"/>
    <w:rsid w:val="00B51B15"/>
    <w:rsid w:val="00B524B9"/>
    <w:rsid w:val="00B52AF1"/>
    <w:rsid w:val="00B54078"/>
    <w:rsid w:val="00B54A85"/>
    <w:rsid w:val="00B54F4C"/>
    <w:rsid w:val="00B55019"/>
    <w:rsid w:val="00B5539F"/>
    <w:rsid w:val="00B55AF6"/>
    <w:rsid w:val="00B56140"/>
    <w:rsid w:val="00B5704C"/>
    <w:rsid w:val="00B572A8"/>
    <w:rsid w:val="00B57C57"/>
    <w:rsid w:val="00B60011"/>
    <w:rsid w:val="00B602AE"/>
    <w:rsid w:val="00B60A69"/>
    <w:rsid w:val="00B60C92"/>
    <w:rsid w:val="00B61639"/>
    <w:rsid w:val="00B61BB0"/>
    <w:rsid w:val="00B61C94"/>
    <w:rsid w:val="00B61EEC"/>
    <w:rsid w:val="00B622C7"/>
    <w:rsid w:val="00B6276C"/>
    <w:rsid w:val="00B62B58"/>
    <w:rsid w:val="00B64AF5"/>
    <w:rsid w:val="00B64BCD"/>
    <w:rsid w:val="00B659B4"/>
    <w:rsid w:val="00B65F5F"/>
    <w:rsid w:val="00B6661D"/>
    <w:rsid w:val="00B666AE"/>
    <w:rsid w:val="00B668AF"/>
    <w:rsid w:val="00B66A8C"/>
    <w:rsid w:val="00B66BBC"/>
    <w:rsid w:val="00B677A1"/>
    <w:rsid w:val="00B67E96"/>
    <w:rsid w:val="00B7102D"/>
    <w:rsid w:val="00B7105C"/>
    <w:rsid w:val="00B72F07"/>
    <w:rsid w:val="00B742AB"/>
    <w:rsid w:val="00B742D7"/>
    <w:rsid w:val="00B759E8"/>
    <w:rsid w:val="00B75DCF"/>
    <w:rsid w:val="00B77595"/>
    <w:rsid w:val="00B80DDD"/>
    <w:rsid w:val="00B81862"/>
    <w:rsid w:val="00B81A11"/>
    <w:rsid w:val="00B81C57"/>
    <w:rsid w:val="00B81C6B"/>
    <w:rsid w:val="00B826A6"/>
    <w:rsid w:val="00B82803"/>
    <w:rsid w:val="00B8449F"/>
    <w:rsid w:val="00B84BCA"/>
    <w:rsid w:val="00B857DC"/>
    <w:rsid w:val="00B8594E"/>
    <w:rsid w:val="00B86BA5"/>
    <w:rsid w:val="00B8743B"/>
    <w:rsid w:val="00B87A6E"/>
    <w:rsid w:val="00B87ED9"/>
    <w:rsid w:val="00B903BD"/>
    <w:rsid w:val="00B90411"/>
    <w:rsid w:val="00B90F43"/>
    <w:rsid w:val="00B912D1"/>
    <w:rsid w:val="00B92512"/>
    <w:rsid w:val="00B93EAF"/>
    <w:rsid w:val="00B941BE"/>
    <w:rsid w:val="00B94590"/>
    <w:rsid w:val="00B9460E"/>
    <w:rsid w:val="00B9481A"/>
    <w:rsid w:val="00B94B99"/>
    <w:rsid w:val="00B958C0"/>
    <w:rsid w:val="00B97814"/>
    <w:rsid w:val="00B97A86"/>
    <w:rsid w:val="00BA13B1"/>
    <w:rsid w:val="00BA2412"/>
    <w:rsid w:val="00BA27A5"/>
    <w:rsid w:val="00BA373B"/>
    <w:rsid w:val="00BA39B6"/>
    <w:rsid w:val="00BA4068"/>
    <w:rsid w:val="00BA41CE"/>
    <w:rsid w:val="00BA4EE3"/>
    <w:rsid w:val="00BA4F66"/>
    <w:rsid w:val="00BA5B90"/>
    <w:rsid w:val="00BA6B35"/>
    <w:rsid w:val="00BA6D74"/>
    <w:rsid w:val="00BA70CA"/>
    <w:rsid w:val="00BA753B"/>
    <w:rsid w:val="00BB0105"/>
    <w:rsid w:val="00BB029A"/>
    <w:rsid w:val="00BB0A8B"/>
    <w:rsid w:val="00BB1AD6"/>
    <w:rsid w:val="00BB2021"/>
    <w:rsid w:val="00BB2CD4"/>
    <w:rsid w:val="00BB4671"/>
    <w:rsid w:val="00BB55D4"/>
    <w:rsid w:val="00BB58AA"/>
    <w:rsid w:val="00BB5B7D"/>
    <w:rsid w:val="00BB6164"/>
    <w:rsid w:val="00BB68D3"/>
    <w:rsid w:val="00BB6948"/>
    <w:rsid w:val="00BB6DCC"/>
    <w:rsid w:val="00BB727B"/>
    <w:rsid w:val="00BB75E6"/>
    <w:rsid w:val="00BB7AFD"/>
    <w:rsid w:val="00BC00C7"/>
    <w:rsid w:val="00BC0451"/>
    <w:rsid w:val="00BC08F4"/>
    <w:rsid w:val="00BC12DB"/>
    <w:rsid w:val="00BC1920"/>
    <w:rsid w:val="00BC1992"/>
    <w:rsid w:val="00BC1FF3"/>
    <w:rsid w:val="00BC2F62"/>
    <w:rsid w:val="00BC36B0"/>
    <w:rsid w:val="00BC372E"/>
    <w:rsid w:val="00BC5375"/>
    <w:rsid w:val="00BC55D0"/>
    <w:rsid w:val="00BC5775"/>
    <w:rsid w:val="00BC64F5"/>
    <w:rsid w:val="00BC65FE"/>
    <w:rsid w:val="00BC6DE3"/>
    <w:rsid w:val="00BC6FE1"/>
    <w:rsid w:val="00BC7456"/>
    <w:rsid w:val="00BC771F"/>
    <w:rsid w:val="00BC7AC4"/>
    <w:rsid w:val="00BC7EB7"/>
    <w:rsid w:val="00BD0775"/>
    <w:rsid w:val="00BD0CCC"/>
    <w:rsid w:val="00BD1C44"/>
    <w:rsid w:val="00BD202A"/>
    <w:rsid w:val="00BD222F"/>
    <w:rsid w:val="00BD24BD"/>
    <w:rsid w:val="00BD362D"/>
    <w:rsid w:val="00BD390B"/>
    <w:rsid w:val="00BD4310"/>
    <w:rsid w:val="00BD4FBD"/>
    <w:rsid w:val="00BD6897"/>
    <w:rsid w:val="00BD6A24"/>
    <w:rsid w:val="00BD6D70"/>
    <w:rsid w:val="00BD7240"/>
    <w:rsid w:val="00BE02C2"/>
    <w:rsid w:val="00BE0BE0"/>
    <w:rsid w:val="00BE0D9C"/>
    <w:rsid w:val="00BE0E7B"/>
    <w:rsid w:val="00BE2537"/>
    <w:rsid w:val="00BE2E1A"/>
    <w:rsid w:val="00BE37E1"/>
    <w:rsid w:val="00BE4400"/>
    <w:rsid w:val="00BE5E3C"/>
    <w:rsid w:val="00BE6173"/>
    <w:rsid w:val="00BE6C67"/>
    <w:rsid w:val="00BE750F"/>
    <w:rsid w:val="00BE7856"/>
    <w:rsid w:val="00BE78E6"/>
    <w:rsid w:val="00BF02A9"/>
    <w:rsid w:val="00BF03F5"/>
    <w:rsid w:val="00BF0D02"/>
    <w:rsid w:val="00BF1FDA"/>
    <w:rsid w:val="00BF24DE"/>
    <w:rsid w:val="00BF2A06"/>
    <w:rsid w:val="00BF2A25"/>
    <w:rsid w:val="00BF2A2D"/>
    <w:rsid w:val="00BF33BF"/>
    <w:rsid w:val="00BF3475"/>
    <w:rsid w:val="00BF387B"/>
    <w:rsid w:val="00BF3B56"/>
    <w:rsid w:val="00BF3B5B"/>
    <w:rsid w:val="00BF3FCC"/>
    <w:rsid w:val="00BF40F9"/>
    <w:rsid w:val="00BF42DA"/>
    <w:rsid w:val="00BF4B71"/>
    <w:rsid w:val="00BF4E15"/>
    <w:rsid w:val="00BF54FF"/>
    <w:rsid w:val="00BF56F5"/>
    <w:rsid w:val="00BF5954"/>
    <w:rsid w:val="00BF7093"/>
    <w:rsid w:val="00C00212"/>
    <w:rsid w:val="00C015CA"/>
    <w:rsid w:val="00C01A7C"/>
    <w:rsid w:val="00C02724"/>
    <w:rsid w:val="00C02BDC"/>
    <w:rsid w:val="00C032F4"/>
    <w:rsid w:val="00C03B05"/>
    <w:rsid w:val="00C03F62"/>
    <w:rsid w:val="00C04432"/>
    <w:rsid w:val="00C04D8D"/>
    <w:rsid w:val="00C04F47"/>
    <w:rsid w:val="00C05BBC"/>
    <w:rsid w:val="00C05BCB"/>
    <w:rsid w:val="00C060DF"/>
    <w:rsid w:val="00C06859"/>
    <w:rsid w:val="00C071EB"/>
    <w:rsid w:val="00C07765"/>
    <w:rsid w:val="00C1033B"/>
    <w:rsid w:val="00C11A87"/>
    <w:rsid w:val="00C11F36"/>
    <w:rsid w:val="00C124B0"/>
    <w:rsid w:val="00C12B13"/>
    <w:rsid w:val="00C13656"/>
    <w:rsid w:val="00C13B37"/>
    <w:rsid w:val="00C13E7E"/>
    <w:rsid w:val="00C14908"/>
    <w:rsid w:val="00C14FD1"/>
    <w:rsid w:val="00C15A39"/>
    <w:rsid w:val="00C16500"/>
    <w:rsid w:val="00C16689"/>
    <w:rsid w:val="00C16AFB"/>
    <w:rsid w:val="00C16FFD"/>
    <w:rsid w:val="00C172C9"/>
    <w:rsid w:val="00C17504"/>
    <w:rsid w:val="00C17E47"/>
    <w:rsid w:val="00C20BDB"/>
    <w:rsid w:val="00C20E99"/>
    <w:rsid w:val="00C21C73"/>
    <w:rsid w:val="00C21EDB"/>
    <w:rsid w:val="00C23471"/>
    <w:rsid w:val="00C23B76"/>
    <w:rsid w:val="00C2461D"/>
    <w:rsid w:val="00C24CDA"/>
    <w:rsid w:val="00C25CD4"/>
    <w:rsid w:val="00C266F7"/>
    <w:rsid w:val="00C27B0F"/>
    <w:rsid w:val="00C30966"/>
    <w:rsid w:val="00C32733"/>
    <w:rsid w:val="00C32856"/>
    <w:rsid w:val="00C32967"/>
    <w:rsid w:val="00C32D60"/>
    <w:rsid w:val="00C32E13"/>
    <w:rsid w:val="00C33923"/>
    <w:rsid w:val="00C33AE7"/>
    <w:rsid w:val="00C3501E"/>
    <w:rsid w:val="00C3522F"/>
    <w:rsid w:val="00C37459"/>
    <w:rsid w:val="00C37816"/>
    <w:rsid w:val="00C40086"/>
    <w:rsid w:val="00C400AA"/>
    <w:rsid w:val="00C40964"/>
    <w:rsid w:val="00C4157E"/>
    <w:rsid w:val="00C415AC"/>
    <w:rsid w:val="00C41755"/>
    <w:rsid w:val="00C4217B"/>
    <w:rsid w:val="00C4277F"/>
    <w:rsid w:val="00C4303A"/>
    <w:rsid w:val="00C43190"/>
    <w:rsid w:val="00C43217"/>
    <w:rsid w:val="00C438A0"/>
    <w:rsid w:val="00C4437E"/>
    <w:rsid w:val="00C443FE"/>
    <w:rsid w:val="00C44F6A"/>
    <w:rsid w:val="00C45261"/>
    <w:rsid w:val="00C45939"/>
    <w:rsid w:val="00C46C87"/>
    <w:rsid w:val="00C47F3A"/>
    <w:rsid w:val="00C519A1"/>
    <w:rsid w:val="00C51B3C"/>
    <w:rsid w:val="00C51C07"/>
    <w:rsid w:val="00C52C3F"/>
    <w:rsid w:val="00C548D6"/>
    <w:rsid w:val="00C561C8"/>
    <w:rsid w:val="00C5633B"/>
    <w:rsid w:val="00C569E3"/>
    <w:rsid w:val="00C612E7"/>
    <w:rsid w:val="00C624DB"/>
    <w:rsid w:val="00C62735"/>
    <w:rsid w:val="00C62BD5"/>
    <w:rsid w:val="00C6326F"/>
    <w:rsid w:val="00C65169"/>
    <w:rsid w:val="00C657BA"/>
    <w:rsid w:val="00C66193"/>
    <w:rsid w:val="00C6673A"/>
    <w:rsid w:val="00C66D57"/>
    <w:rsid w:val="00C67199"/>
    <w:rsid w:val="00C70110"/>
    <w:rsid w:val="00C70364"/>
    <w:rsid w:val="00C70EBF"/>
    <w:rsid w:val="00C71428"/>
    <w:rsid w:val="00C718AE"/>
    <w:rsid w:val="00C720B9"/>
    <w:rsid w:val="00C72521"/>
    <w:rsid w:val="00C7297F"/>
    <w:rsid w:val="00C72B7B"/>
    <w:rsid w:val="00C733B9"/>
    <w:rsid w:val="00C738DC"/>
    <w:rsid w:val="00C7403B"/>
    <w:rsid w:val="00C74827"/>
    <w:rsid w:val="00C74A51"/>
    <w:rsid w:val="00C75C70"/>
    <w:rsid w:val="00C75FDF"/>
    <w:rsid w:val="00C76035"/>
    <w:rsid w:val="00C7618D"/>
    <w:rsid w:val="00C76C8B"/>
    <w:rsid w:val="00C76D59"/>
    <w:rsid w:val="00C81374"/>
    <w:rsid w:val="00C81F63"/>
    <w:rsid w:val="00C821FA"/>
    <w:rsid w:val="00C82256"/>
    <w:rsid w:val="00C8436E"/>
    <w:rsid w:val="00C84C3A"/>
    <w:rsid w:val="00C853E2"/>
    <w:rsid w:val="00C85417"/>
    <w:rsid w:val="00C86B59"/>
    <w:rsid w:val="00C86C0F"/>
    <w:rsid w:val="00C8788A"/>
    <w:rsid w:val="00C87B83"/>
    <w:rsid w:val="00C90084"/>
    <w:rsid w:val="00C900DF"/>
    <w:rsid w:val="00C91CB2"/>
    <w:rsid w:val="00C9231E"/>
    <w:rsid w:val="00C93DF2"/>
    <w:rsid w:val="00C9408C"/>
    <w:rsid w:val="00C949C7"/>
    <w:rsid w:val="00C94F2B"/>
    <w:rsid w:val="00C952D2"/>
    <w:rsid w:val="00C95775"/>
    <w:rsid w:val="00C95BA9"/>
    <w:rsid w:val="00C96122"/>
    <w:rsid w:val="00C962D2"/>
    <w:rsid w:val="00C963C0"/>
    <w:rsid w:val="00C96987"/>
    <w:rsid w:val="00C96C23"/>
    <w:rsid w:val="00C9708A"/>
    <w:rsid w:val="00C972F2"/>
    <w:rsid w:val="00C97EA2"/>
    <w:rsid w:val="00CA0B77"/>
    <w:rsid w:val="00CA11C8"/>
    <w:rsid w:val="00CA1205"/>
    <w:rsid w:val="00CA3BCC"/>
    <w:rsid w:val="00CA428C"/>
    <w:rsid w:val="00CA5123"/>
    <w:rsid w:val="00CA63A1"/>
    <w:rsid w:val="00CA6950"/>
    <w:rsid w:val="00CA6EF1"/>
    <w:rsid w:val="00CA6F93"/>
    <w:rsid w:val="00CA7930"/>
    <w:rsid w:val="00CB0001"/>
    <w:rsid w:val="00CB0334"/>
    <w:rsid w:val="00CB0641"/>
    <w:rsid w:val="00CB07D4"/>
    <w:rsid w:val="00CB105D"/>
    <w:rsid w:val="00CB111D"/>
    <w:rsid w:val="00CB18FC"/>
    <w:rsid w:val="00CB1923"/>
    <w:rsid w:val="00CB3B0F"/>
    <w:rsid w:val="00CB3EEE"/>
    <w:rsid w:val="00CB57CC"/>
    <w:rsid w:val="00CB6685"/>
    <w:rsid w:val="00CB7E97"/>
    <w:rsid w:val="00CC0394"/>
    <w:rsid w:val="00CC1BCB"/>
    <w:rsid w:val="00CC2014"/>
    <w:rsid w:val="00CC28E9"/>
    <w:rsid w:val="00CC2D95"/>
    <w:rsid w:val="00CC3523"/>
    <w:rsid w:val="00CC395B"/>
    <w:rsid w:val="00CC3C9F"/>
    <w:rsid w:val="00CC514D"/>
    <w:rsid w:val="00CC63C2"/>
    <w:rsid w:val="00CC71EF"/>
    <w:rsid w:val="00CD0EC8"/>
    <w:rsid w:val="00CD2958"/>
    <w:rsid w:val="00CD36A3"/>
    <w:rsid w:val="00CD3FA7"/>
    <w:rsid w:val="00CD4081"/>
    <w:rsid w:val="00CD42BF"/>
    <w:rsid w:val="00CD4336"/>
    <w:rsid w:val="00CD43C6"/>
    <w:rsid w:val="00CD440C"/>
    <w:rsid w:val="00CD4469"/>
    <w:rsid w:val="00CD4711"/>
    <w:rsid w:val="00CD480A"/>
    <w:rsid w:val="00CD4AE0"/>
    <w:rsid w:val="00CD58A8"/>
    <w:rsid w:val="00CD6D97"/>
    <w:rsid w:val="00CD713B"/>
    <w:rsid w:val="00CD7173"/>
    <w:rsid w:val="00CD7B0A"/>
    <w:rsid w:val="00CE09E6"/>
    <w:rsid w:val="00CE10AE"/>
    <w:rsid w:val="00CE258F"/>
    <w:rsid w:val="00CE2897"/>
    <w:rsid w:val="00CE4AA8"/>
    <w:rsid w:val="00CE53E9"/>
    <w:rsid w:val="00CE5495"/>
    <w:rsid w:val="00CE5DFC"/>
    <w:rsid w:val="00CE67C5"/>
    <w:rsid w:val="00CE6FFA"/>
    <w:rsid w:val="00CE763B"/>
    <w:rsid w:val="00CF0230"/>
    <w:rsid w:val="00CF0AA9"/>
    <w:rsid w:val="00CF0E0D"/>
    <w:rsid w:val="00CF10FB"/>
    <w:rsid w:val="00CF18D0"/>
    <w:rsid w:val="00CF1CBC"/>
    <w:rsid w:val="00CF574A"/>
    <w:rsid w:val="00CF584C"/>
    <w:rsid w:val="00CF5942"/>
    <w:rsid w:val="00CF5973"/>
    <w:rsid w:val="00CF5A90"/>
    <w:rsid w:val="00CF5D7B"/>
    <w:rsid w:val="00CF6F12"/>
    <w:rsid w:val="00CF7308"/>
    <w:rsid w:val="00CF734B"/>
    <w:rsid w:val="00CF73E2"/>
    <w:rsid w:val="00CF7E6D"/>
    <w:rsid w:val="00D001DB"/>
    <w:rsid w:val="00D00C49"/>
    <w:rsid w:val="00D011E7"/>
    <w:rsid w:val="00D02652"/>
    <w:rsid w:val="00D036C5"/>
    <w:rsid w:val="00D05495"/>
    <w:rsid w:val="00D0603F"/>
    <w:rsid w:val="00D06063"/>
    <w:rsid w:val="00D0645A"/>
    <w:rsid w:val="00D069B4"/>
    <w:rsid w:val="00D10456"/>
    <w:rsid w:val="00D1081C"/>
    <w:rsid w:val="00D10C58"/>
    <w:rsid w:val="00D10EC9"/>
    <w:rsid w:val="00D111EC"/>
    <w:rsid w:val="00D12AB1"/>
    <w:rsid w:val="00D12B8E"/>
    <w:rsid w:val="00D12D95"/>
    <w:rsid w:val="00D12FDA"/>
    <w:rsid w:val="00D131F2"/>
    <w:rsid w:val="00D1404E"/>
    <w:rsid w:val="00D1527E"/>
    <w:rsid w:val="00D162BB"/>
    <w:rsid w:val="00D163FB"/>
    <w:rsid w:val="00D16CD0"/>
    <w:rsid w:val="00D17780"/>
    <w:rsid w:val="00D17948"/>
    <w:rsid w:val="00D17E21"/>
    <w:rsid w:val="00D17ED4"/>
    <w:rsid w:val="00D21BEC"/>
    <w:rsid w:val="00D221BA"/>
    <w:rsid w:val="00D22477"/>
    <w:rsid w:val="00D229F0"/>
    <w:rsid w:val="00D23C74"/>
    <w:rsid w:val="00D23D07"/>
    <w:rsid w:val="00D24B42"/>
    <w:rsid w:val="00D250F4"/>
    <w:rsid w:val="00D250F8"/>
    <w:rsid w:val="00D261C1"/>
    <w:rsid w:val="00D262CB"/>
    <w:rsid w:val="00D26531"/>
    <w:rsid w:val="00D26E37"/>
    <w:rsid w:val="00D271F5"/>
    <w:rsid w:val="00D27A42"/>
    <w:rsid w:val="00D27C0F"/>
    <w:rsid w:val="00D27F46"/>
    <w:rsid w:val="00D307B9"/>
    <w:rsid w:val="00D31884"/>
    <w:rsid w:val="00D31D2B"/>
    <w:rsid w:val="00D320F4"/>
    <w:rsid w:val="00D337E9"/>
    <w:rsid w:val="00D33AB6"/>
    <w:rsid w:val="00D35A00"/>
    <w:rsid w:val="00D35F6D"/>
    <w:rsid w:val="00D371F8"/>
    <w:rsid w:val="00D3777D"/>
    <w:rsid w:val="00D401F2"/>
    <w:rsid w:val="00D41B7C"/>
    <w:rsid w:val="00D4280A"/>
    <w:rsid w:val="00D43303"/>
    <w:rsid w:val="00D43371"/>
    <w:rsid w:val="00D43676"/>
    <w:rsid w:val="00D43DC7"/>
    <w:rsid w:val="00D43FFF"/>
    <w:rsid w:val="00D440AD"/>
    <w:rsid w:val="00D447A5"/>
    <w:rsid w:val="00D450BE"/>
    <w:rsid w:val="00D45248"/>
    <w:rsid w:val="00D45989"/>
    <w:rsid w:val="00D45FE8"/>
    <w:rsid w:val="00D4724A"/>
    <w:rsid w:val="00D475CC"/>
    <w:rsid w:val="00D47EC5"/>
    <w:rsid w:val="00D50F76"/>
    <w:rsid w:val="00D51779"/>
    <w:rsid w:val="00D52669"/>
    <w:rsid w:val="00D53F15"/>
    <w:rsid w:val="00D53FEE"/>
    <w:rsid w:val="00D544BC"/>
    <w:rsid w:val="00D553C6"/>
    <w:rsid w:val="00D557CD"/>
    <w:rsid w:val="00D55ABA"/>
    <w:rsid w:val="00D56D2A"/>
    <w:rsid w:val="00D572D7"/>
    <w:rsid w:val="00D57987"/>
    <w:rsid w:val="00D57AA5"/>
    <w:rsid w:val="00D57C22"/>
    <w:rsid w:val="00D6092E"/>
    <w:rsid w:val="00D60CA4"/>
    <w:rsid w:val="00D6301D"/>
    <w:rsid w:val="00D6431A"/>
    <w:rsid w:val="00D657E9"/>
    <w:rsid w:val="00D65D02"/>
    <w:rsid w:val="00D65FAC"/>
    <w:rsid w:val="00D66002"/>
    <w:rsid w:val="00D66943"/>
    <w:rsid w:val="00D67416"/>
    <w:rsid w:val="00D67DFC"/>
    <w:rsid w:val="00D67F89"/>
    <w:rsid w:val="00D7019A"/>
    <w:rsid w:val="00D70534"/>
    <w:rsid w:val="00D71160"/>
    <w:rsid w:val="00D71626"/>
    <w:rsid w:val="00D72CCF"/>
    <w:rsid w:val="00D74080"/>
    <w:rsid w:val="00D74260"/>
    <w:rsid w:val="00D753A0"/>
    <w:rsid w:val="00D758BB"/>
    <w:rsid w:val="00D758E8"/>
    <w:rsid w:val="00D75FCF"/>
    <w:rsid w:val="00D76B08"/>
    <w:rsid w:val="00D8064B"/>
    <w:rsid w:val="00D812BB"/>
    <w:rsid w:val="00D83028"/>
    <w:rsid w:val="00D8341C"/>
    <w:rsid w:val="00D83D2A"/>
    <w:rsid w:val="00D84F7A"/>
    <w:rsid w:val="00D850DA"/>
    <w:rsid w:val="00D852C9"/>
    <w:rsid w:val="00D87011"/>
    <w:rsid w:val="00D872C0"/>
    <w:rsid w:val="00D87F15"/>
    <w:rsid w:val="00D91412"/>
    <w:rsid w:val="00D91834"/>
    <w:rsid w:val="00D923F6"/>
    <w:rsid w:val="00D92577"/>
    <w:rsid w:val="00D93663"/>
    <w:rsid w:val="00D93B0F"/>
    <w:rsid w:val="00D9551A"/>
    <w:rsid w:val="00D955F2"/>
    <w:rsid w:val="00D95608"/>
    <w:rsid w:val="00D9739C"/>
    <w:rsid w:val="00D976A6"/>
    <w:rsid w:val="00D97D3F"/>
    <w:rsid w:val="00DA02A2"/>
    <w:rsid w:val="00DA1343"/>
    <w:rsid w:val="00DA1C7A"/>
    <w:rsid w:val="00DA3524"/>
    <w:rsid w:val="00DA59F0"/>
    <w:rsid w:val="00DA63A5"/>
    <w:rsid w:val="00DA7237"/>
    <w:rsid w:val="00DA7A72"/>
    <w:rsid w:val="00DB01BF"/>
    <w:rsid w:val="00DB03E7"/>
    <w:rsid w:val="00DB2005"/>
    <w:rsid w:val="00DB2057"/>
    <w:rsid w:val="00DB2790"/>
    <w:rsid w:val="00DB3271"/>
    <w:rsid w:val="00DB34BD"/>
    <w:rsid w:val="00DB37CC"/>
    <w:rsid w:val="00DB4B77"/>
    <w:rsid w:val="00DB4BB3"/>
    <w:rsid w:val="00DB50D0"/>
    <w:rsid w:val="00DB5EA3"/>
    <w:rsid w:val="00DB6525"/>
    <w:rsid w:val="00DB6803"/>
    <w:rsid w:val="00DB788B"/>
    <w:rsid w:val="00DB7EA1"/>
    <w:rsid w:val="00DB7EEB"/>
    <w:rsid w:val="00DC0D24"/>
    <w:rsid w:val="00DC13E1"/>
    <w:rsid w:val="00DC1420"/>
    <w:rsid w:val="00DC148B"/>
    <w:rsid w:val="00DC18BC"/>
    <w:rsid w:val="00DC2331"/>
    <w:rsid w:val="00DC23C7"/>
    <w:rsid w:val="00DC2593"/>
    <w:rsid w:val="00DC2EB8"/>
    <w:rsid w:val="00DC30D0"/>
    <w:rsid w:val="00DC36BC"/>
    <w:rsid w:val="00DC409C"/>
    <w:rsid w:val="00DC5093"/>
    <w:rsid w:val="00DC5570"/>
    <w:rsid w:val="00DC5772"/>
    <w:rsid w:val="00DC6205"/>
    <w:rsid w:val="00DC6890"/>
    <w:rsid w:val="00DC68CF"/>
    <w:rsid w:val="00DC68D3"/>
    <w:rsid w:val="00DC68FE"/>
    <w:rsid w:val="00DC6912"/>
    <w:rsid w:val="00DC6A71"/>
    <w:rsid w:val="00DC7133"/>
    <w:rsid w:val="00DC754C"/>
    <w:rsid w:val="00DD04CF"/>
    <w:rsid w:val="00DD0F01"/>
    <w:rsid w:val="00DD108B"/>
    <w:rsid w:val="00DD18DC"/>
    <w:rsid w:val="00DD274E"/>
    <w:rsid w:val="00DD3BA8"/>
    <w:rsid w:val="00DD424D"/>
    <w:rsid w:val="00DD44A8"/>
    <w:rsid w:val="00DD505B"/>
    <w:rsid w:val="00DD56D7"/>
    <w:rsid w:val="00DD5A9B"/>
    <w:rsid w:val="00DD6460"/>
    <w:rsid w:val="00DD69F2"/>
    <w:rsid w:val="00DD748D"/>
    <w:rsid w:val="00DE06A9"/>
    <w:rsid w:val="00DE0838"/>
    <w:rsid w:val="00DE0931"/>
    <w:rsid w:val="00DE17D7"/>
    <w:rsid w:val="00DE2A9A"/>
    <w:rsid w:val="00DE33EA"/>
    <w:rsid w:val="00DE3C00"/>
    <w:rsid w:val="00DE61AC"/>
    <w:rsid w:val="00DE7292"/>
    <w:rsid w:val="00DE77A6"/>
    <w:rsid w:val="00DE79B4"/>
    <w:rsid w:val="00DF005A"/>
    <w:rsid w:val="00DF030A"/>
    <w:rsid w:val="00DF03AE"/>
    <w:rsid w:val="00DF0923"/>
    <w:rsid w:val="00DF1951"/>
    <w:rsid w:val="00DF1D71"/>
    <w:rsid w:val="00DF2A49"/>
    <w:rsid w:val="00DF2C3B"/>
    <w:rsid w:val="00DF2D87"/>
    <w:rsid w:val="00DF3E06"/>
    <w:rsid w:val="00DF43F0"/>
    <w:rsid w:val="00DF69C7"/>
    <w:rsid w:val="00DF7133"/>
    <w:rsid w:val="00DF725A"/>
    <w:rsid w:val="00DF72CF"/>
    <w:rsid w:val="00E0010A"/>
    <w:rsid w:val="00E0011E"/>
    <w:rsid w:val="00E001EA"/>
    <w:rsid w:val="00E02229"/>
    <w:rsid w:val="00E037AA"/>
    <w:rsid w:val="00E03CEA"/>
    <w:rsid w:val="00E04D3F"/>
    <w:rsid w:val="00E05256"/>
    <w:rsid w:val="00E054A5"/>
    <w:rsid w:val="00E0662C"/>
    <w:rsid w:val="00E06C63"/>
    <w:rsid w:val="00E10055"/>
    <w:rsid w:val="00E1146E"/>
    <w:rsid w:val="00E132CC"/>
    <w:rsid w:val="00E135D6"/>
    <w:rsid w:val="00E1534A"/>
    <w:rsid w:val="00E153B5"/>
    <w:rsid w:val="00E15BDB"/>
    <w:rsid w:val="00E1711B"/>
    <w:rsid w:val="00E17DEF"/>
    <w:rsid w:val="00E17FA7"/>
    <w:rsid w:val="00E200AA"/>
    <w:rsid w:val="00E2158C"/>
    <w:rsid w:val="00E22293"/>
    <w:rsid w:val="00E2243B"/>
    <w:rsid w:val="00E22750"/>
    <w:rsid w:val="00E22761"/>
    <w:rsid w:val="00E23715"/>
    <w:rsid w:val="00E23E31"/>
    <w:rsid w:val="00E24C4B"/>
    <w:rsid w:val="00E251BD"/>
    <w:rsid w:val="00E27474"/>
    <w:rsid w:val="00E30010"/>
    <w:rsid w:val="00E304B0"/>
    <w:rsid w:val="00E319D4"/>
    <w:rsid w:val="00E330B2"/>
    <w:rsid w:val="00E33D25"/>
    <w:rsid w:val="00E3413F"/>
    <w:rsid w:val="00E3433B"/>
    <w:rsid w:val="00E3435E"/>
    <w:rsid w:val="00E34BDD"/>
    <w:rsid w:val="00E35E43"/>
    <w:rsid w:val="00E36538"/>
    <w:rsid w:val="00E3664D"/>
    <w:rsid w:val="00E367AD"/>
    <w:rsid w:val="00E36C3F"/>
    <w:rsid w:val="00E371C3"/>
    <w:rsid w:val="00E37CA8"/>
    <w:rsid w:val="00E401CB"/>
    <w:rsid w:val="00E40574"/>
    <w:rsid w:val="00E4137C"/>
    <w:rsid w:val="00E415FA"/>
    <w:rsid w:val="00E4162E"/>
    <w:rsid w:val="00E41963"/>
    <w:rsid w:val="00E41A5D"/>
    <w:rsid w:val="00E429AD"/>
    <w:rsid w:val="00E42A0D"/>
    <w:rsid w:val="00E42DD2"/>
    <w:rsid w:val="00E43294"/>
    <w:rsid w:val="00E43A87"/>
    <w:rsid w:val="00E43CD5"/>
    <w:rsid w:val="00E451FC"/>
    <w:rsid w:val="00E45518"/>
    <w:rsid w:val="00E46348"/>
    <w:rsid w:val="00E5097D"/>
    <w:rsid w:val="00E512D0"/>
    <w:rsid w:val="00E51EEA"/>
    <w:rsid w:val="00E5243F"/>
    <w:rsid w:val="00E52637"/>
    <w:rsid w:val="00E5282A"/>
    <w:rsid w:val="00E52DB5"/>
    <w:rsid w:val="00E5550D"/>
    <w:rsid w:val="00E55D49"/>
    <w:rsid w:val="00E55EDC"/>
    <w:rsid w:val="00E562C1"/>
    <w:rsid w:val="00E56577"/>
    <w:rsid w:val="00E57019"/>
    <w:rsid w:val="00E57FD9"/>
    <w:rsid w:val="00E60005"/>
    <w:rsid w:val="00E605C5"/>
    <w:rsid w:val="00E609D6"/>
    <w:rsid w:val="00E611CE"/>
    <w:rsid w:val="00E61EA5"/>
    <w:rsid w:val="00E62336"/>
    <w:rsid w:val="00E62BCA"/>
    <w:rsid w:val="00E63073"/>
    <w:rsid w:val="00E630DE"/>
    <w:rsid w:val="00E63B0F"/>
    <w:rsid w:val="00E6424A"/>
    <w:rsid w:val="00E64BF7"/>
    <w:rsid w:val="00E6563F"/>
    <w:rsid w:val="00E7077E"/>
    <w:rsid w:val="00E70D79"/>
    <w:rsid w:val="00E72F82"/>
    <w:rsid w:val="00E73724"/>
    <w:rsid w:val="00E73A4C"/>
    <w:rsid w:val="00E748E8"/>
    <w:rsid w:val="00E755AF"/>
    <w:rsid w:val="00E75C99"/>
    <w:rsid w:val="00E80BC2"/>
    <w:rsid w:val="00E80FC3"/>
    <w:rsid w:val="00E8131C"/>
    <w:rsid w:val="00E8140D"/>
    <w:rsid w:val="00E8146F"/>
    <w:rsid w:val="00E818CF"/>
    <w:rsid w:val="00E81DBD"/>
    <w:rsid w:val="00E81E8A"/>
    <w:rsid w:val="00E81E8C"/>
    <w:rsid w:val="00E828C3"/>
    <w:rsid w:val="00E8298C"/>
    <w:rsid w:val="00E829C8"/>
    <w:rsid w:val="00E830FC"/>
    <w:rsid w:val="00E8369C"/>
    <w:rsid w:val="00E8379C"/>
    <w:rsid w:val="00E840CD"/>
    <w:rsid w:val="00E84E5C"/>
    <w:rsid w:val="00E8621B"/>
    <w:rsid w:val="00E86B65"/>
    <w:rsid w:val="00E86C9A"/>
    <w:rsid w:val="00E86D13"/>
    <w:rsid w:val="00E8718A"/>
    <w:rsid w:val="00E90D50"/>
    <w:rsid w:val="00E9108A"/>
    <w:rsid w:val="00E916A1"/>
    <w:rsid w:val="00E9253D"/>
    <w:rsid w:val="00E92ADE"/>
    <w:rsid w:val="00E93390"/>
    <w:rsid w:val="00E93532"/>
    <w:rsid w:val="00E9409B"/>
    <w:rsid w:val="00E941F0"/>
    <w:rsid w:val="00E9507F"/>
    <w:rsid w:val="00E952EC"/>
    <w:rsid w:val="00E96F27"/>
    <w:rsid w:val="00E97494"/>
    <w:rsid w:val="00EA1766"/>
    <w:rsid w:val="00EA21FA"/>
    <w:rsid w:val="00EA2B1A"/>
    <w:rsid w:val="00EA2C91"/>
    <w:rsid w:val="00EA2EA7"/>
    <w:rsid w:val="00EA2EED"/>
    <w:rsid w:val="00EA31AC"/>
    <w:rsid w:val="00EA4191"/>
    <w:rsid w:val="00EA5136"/>
    <w:rsid w:val="00EA521F"/>
    <w:rsid w:val="00EA5AC7"/>
    <w:rsid w:val="00EA642E"/>
    <w:rsid w:val="00EA7F89"/>
    <w:rsid w:val="00EB0825"/>
    <w:rsid w:val="00EB2D68"/>
    <w:rsid w:val="00EB3339"/>
    <w:rsid w:val="00EB3776"/>
    <w:rsid w:val="00EB3D7D"/>
    <w:rsid w:val="00EB459D"/>
    <w:rsid w:val="00EB4A4D"/>
    <w:rsid w:val="00EB58EA"/>
    <w:rsid w:val="00EB73ED"/>
    <w:rsid w:val="00EB772E"/>
    <w:rsid w:val="00EB7B3A"/>
    <w:rsid w:val="00EB7F75"/>
    <w:rsid w:val="00EC0E58"/>
    <w:rsid w:val="00EC17CB"/>
    <w:rsid w:val="00EC1F32"/>
    <w:rsid w:val="00EC2E81"/>
    <w:rsid w:val="00EC2E92"/>
    <w:rsid w:val="00EC3323"/>
    <w:rsid w:val="00EC3AC0"/>
    <w:rsid w:val="00EC41EF"/>
    <w:rsid w:val="00EC4C4A"/>
    <w:rsid w:val="00EC6080"/>
    <w:rsid w:val="00EC63A4"/>
    <w:rsid w:val="00EC6D31"/>
    <w:rsid w:val="00ED1D42"/>
    <w:rsid w:val="00ED2819"/>
    <w:rsid w:val="00ED2858"/>
    <w:rsid w:val="00ED2D51"/>
    <w:rsid w:val="00ED2F0E"/>
    <w:rsid w:val="00ED3A00"/>
    <w:rsid w:val="00ED3BBF"/>
    <w:rsid w:val="00ED42DC"/>
    <w:rsid w:val="00ED477F"/>
    <w:rsid w:val="00ED5876"/>
    <w:rsid w:val="00ED6012"/>
    <w:rsid w:val="00ED63FC"/>
    <w:rsid w:val="00ED6401"/>
    <w:rsid w:val="00ED6C3D"/>
    <w:rsid w:val="00ED70CB"/>
    <w:rsid w:val="00ED765E"/>
    <w:rsid w:val="00ED7973"/>
    <w:rsid w:val="00ED7B8C"/>
    <w:rsid w:val="00EE0689"/>
    <w:rsid w:val="00EE07EB"/>
    <w:rsid w:val="00EE07F3"/>
    <w:rsid w:val="00EE0BEC"/>
    <w:rsid w:val="00EE19BE"/>
    <w:rsid w:val="00EE1F79"/>
    <w:rsid w:val="00EE20D8"/>
    <w:rsid w:val="00EE2394"/>
    <w:rsid w:val="00EE2A78"/>
    <w:rsid w:val="00EE4418"/>
    <w:rsid w:val="00EE4B91"/>
    <w:rsid w:val="00EE4E46"/>
    <w:rsid w:val="00EE5D87"/>
    <w:rsid w:val="00EE625C"/>
    <w:rsid w:val="00EE7103"/>
    <w:rsid w:val="00EF04E9"/>
    <w:rsid w:val="00EF168F"/>
    <w:rsid w:val="00EF2D65"/>
    <w:rsid w:val="00EF31E5"/>
    <w:rsid w:val="00EF3AB7"/>
    <w:rsid w:val="00EF41C8"/>
    <w:rsid w:val="00EF4863"/>
    <w:rsid w:val="00EF4E81"/>
    <w:rsid w:val="00EF5400"/>
    <w:rsid w:val="00EF548B"/>
    <w:rsid w:val="00EF5A36"/>
    <w:rsid w:val="00EF679A"/>
    <w:rsid w:val="00EF7160"/>
    <w:rsid w:val="00EF794F"/>
    <w:rsid w:val="00F002DB"/>
    <w:rsid w:val="00F013AC"/>
    <w:rsid w:val="00F01860"/>
    <w:rsid w:val="00F022A5"/>
    <w:rsid w:val="00F024A7"/>
    <w:rsid w:val="00F04E6E"/>
    <w:rsid w:val="00F05667"/>
    <w:rsid w:val="00F063D6"/>
    <w:rsid w:val="00F07621"/>
    <w:rsid w:val="00F07BB6"/>
    <w:rsid w:val="00F118D0"/>
    <w:rsid w:val="00F136B4"/>
    <w:rsid w:val="00F137AB"/>
    <w:rsid w:val="00F13B4E"/>
    <w:rsid w:val="00F143BF"/>
    <w:rsid w:val="00F1547A"/>
    <w:rsid w:val="00F15B3F"/>
    <w:rsid w:val="00F15DD7"/>
    <w:rsid w:val="00F1650A"/>
    <w:rsid w:val="00F16DAF"/>
    <w:rsid w:val="00F17056"/>
    <w:rsid w:val="00F20BD3"/>
    <w:rsid w:val="00F20D67"/>
    <w:rsid w:val="00F2220C"/>
    <w:rsid w:val="00F22F92"/>
    <w:rsid w:val="00F25DAE"/>
    <w:rsid w:val="00F269F6"/>
    <w:rsid w:val="00F26D3F"/>
    <w:rsid w:val="00F273E8"/>
    <w:rsid w:val="00F2765D"/>
    <w:rsid w:val="00F27737"/>
    <w:rsid w:val="00F2775C"/>
    <w:rsid w:val="00F27EBD"/>
    <w:rsid w:val="00F300DF"/>
    <w:rsid w:val="00F302AF"/>
    <w:rsid w:val="00F307FB"/>
    <w:rsid w:val="00F30A9B"/>
    <w:rsid w:val="00F30C99"/>
    <w:rsid w:val="00F32388"/>
    <w:rsid w:val="00F32EDE"/>
    <w:rsid w:val="00F33497"/>
    <w:rsid w:val="00F336DE"/>
    <w:rsid w:val="00F33B85"/>
    <w:rsid w:val="00F340FE"/>
    <w:rsid w:val="00F34C51"/>
    <w:rsid w:val="00F357FD"/>
    <w:rsid w:val="00F361B4"/>
    <w:rsid w:val="00F3629B"/>
    <w:rsid w:val="00F3642E"/>
    <w:rsid w:val="00F36ABE"/>
    <w:rsid w:val="00F372B8"/>
    <w:rsid w:val="00F375A6"/>
    <w:rsid w:val="00F37B75"/>
    <w:rsid w:val="00F37D47"/>
    <w:rsid w:val="00F4030C"/>
    <w:rsid w:val="00F41472"/>
    <w:rsid w:val="00F41846"/>
    <w:rsid w:val="00F42D95"/>
    <w:rsid w:val="00F45939"/>
    <w:rsid w:val="00F45DB9"/>
    <w:rsid w:val="00F47244"/>
    <w:rsid w:val="00F472A5"/>
    <w:rsid w:val="00F475B1"/>
    <w:rsid w:val="00F47B48"/>
    <w:rsid w:val="00F50215"/>
    <w:rsid w:val="00F503AE"/>
    <w:rsid w:val="00F50851"/>
    <w:rsid w:val="00F514AE"/>
    <w:rsid w:val="00F51659"/>
    <w:rsid w:val="00F51D71"/>
    <w:rsid w:val="00F525D1"/>
    <w:rsid w:val="00F5277D"/>
    <w:rsid w:val="00F53CED"/>
    <w:rsid w:val="00F54569"/>
    <w:rsid w:val="00F57045"/>
    <w:rsid w:val="00F5766B"/>
    <w:rsid w:val="00F57EA4"/>
    <w:rsid w:val="00F60114"/>
    <w:rsid w:val="00F6055C"/>
    <w:rsid w:val="00F6177D"/>
    <w:rsid w:val="00F61B94"/>
    <w:rsid w:val="00F61FDD"/>
    <w:rsid w:val="00F62F41"/>
    <w:rsid w:val="00F6509A"/>
    <w:rsid w:val="00F6573D"/>
    <w:rsid w:val="00F665B0"/>
    <w:rsid w:val="00F66698"/>
    <w:rsid w:val="00F66700"/>
    <w:rsid w:val="00F66BD8"/>
    <w:rsid w:val="00F66E1C"/>
    <w:rsid w:val="00F66EFF"/>
    <w:rsid w:val="00F710FE"/>
    <w:rsid w:val="00F7161C"/>
    <w:rsid w:val="00F71DE0"/>
    <w:rsid w:val="00F724E7"/>
    <w:rsid w:val="00F72B0B"/>
    <w:rsid w:val="00F72F8D"/>
    <w:rsid w:val="00F73AC9"/>
    <w:rsid w:val="00F740B2"/>
    <w:rsid w:val="00F75168"/>
    <w:rsid w:val="00F75273"/>
    <w:rsid w:val="00F762F3"/>
    <w:rsid w:val="00F76355"/>
    <w:rsid w:val="00F76565"/>
    <w:rsid w:val="00F76AC5"/>
    <w:rsid w:val="00F76AE5"/>
    <w:rsid w:val="00F7737A"/>
    <w:rsid w:val="00F77DAD"/>
    <w:rsid w:val="00F77E93"/>
    <w:rsid w:val="00F80255"/>
    <w:rsid w:val="00F8172A"/>
    <w:rsid w:val="00F81B58"/>
    <w:rsid w:val="00F81DD0"/>
    <w:rsid w:val="00F82CD1"/>
    <w:rsid w:val="00F82E1F"/>
    <w:rsid w:val="00F82EB2"/>
    <w:rsid w:val="00F83262"/>
    <w:rsid w:val="00F835C9"/>
    <w:rsid w:val="00F836D3"/>
    <w:rsid w:val="00F846E0"/>
    <w:rsid w:val="00F84E57"/>
    <w:rsid w:val="00F851C0"/>
    <w:rsid w:val="00F866A0"/>
    <w:rsid w:val="00F87DD3"/>
    <w:rsid w:val="00F91BA6"/>
    <w:rsid w:val="00F921B5"/>
    <w:rsid w:val="00F948F8"/>
    <w:rsid w:val="00F94DE5"/>
    <w:rsid w:val="00F94E15"/>
    <w:rsid w:val="00F95750"/>
    <w:rsid w:val="00F965A3"/>
    <w:rsid w:val="00F96937"/>
    <w:rsid w:val="00F96B48"/>
    <w:rsid w:val="00FA01F7"/>
    <w:rsid w:val="00FA1C9E"/>
    <w:rsid w:val="00FA2372"/>
    <w:rsid w:val="00FA2779"/>
    <w:rsid w:val="00FA2D4B"/>
    <w:rsid w:val="00FA2D5F"/>
    <w:rsid w:val="00FA2DF3"/>
    <w:rsid w:val="00FA384E"/>
    <w:rsid w:val="00FA3F3A"/>
    <w:rsid w:val="00FA430E"/>
    <w:rsid w:val="00FA44A8"/>
    <w:rsid w:val="00FA5226"/>
    <w:rsid w:val="00FA5C7F"/>
    <w:rsid w:val="00FA601B"/>
    <w:rsid w:val="00FA78F0"/>
    <w:rsid w:val="00FB00E9"/>
    <w:rsid w:val="00FB2F61"/>
    <w:rsid w:val="00FB3104"/>
    <w:rsid w:val="00FB3A0D"/>
    <w:rsid w:val="00FB4E2F"/>
    <w:rsid w:val="00FB51D0"/>
    <w:rsid w:val="00FB71FD"/>
    <w:rsid w:val="00FB73F2"/>
    <w:rsid w:val="00FC0177"/>
    <w:rsid w:val="00FC03A9"/>
    <w:rsid w:val="00FC040F"/>
    <w:rsid w:val="00FC0F4D"/>
    <w:rsid w:val="00FC11CF"/>
    <w:rsid w:val="00FC139F"/>
    <w:rsid w:val="00FC1775"/>
    <w:rsid w:val="00FC1AB4"/>
    <w:rsid w:val="00FC1C3D"/>
    <w:rsid w:val="00FC20A4"/>
    <w:rsid w:val="00FC2169"/>
    <w:rsid w:val="00FC23FE"/>
    <w:rsid w:val="00FC4C30"/>
    <w:rsid w:val="00FC515F"/>
    <w:rsid w:val="00FC52D0"/>
    <w:rsid w:val="00FC5DCB"/>
    <w:rsid w:val="00FC6471"/>
    <w:rsid w:val="00FC6A38"/>
    <w:rsid w:val="00FC6B9D"/>
    <w:rsid w:val="00FC757A"/>
    <w:rsid w:val="00FD0E72"/>
    <w:rsid w:val="00FD10B9"/>
    <w:rsid w:val="00FD1191"/>
    <w:rsid w:val="00FD1BA1"/>
    <w:rsid w:val="00FD2747"/>
    <w:rsid w:val="00FD28BF"/>
    <w:rsid w:val="00FD2BF8"/>
    <w:rsid w:val="00FD2FEE"/>
    <w:rsid w:val="00FD3068"/>
    <w:rsid w:val="00FD35CF"/>
    <w:rsid w:val="00FD3C4E"/>
    <w:rsid w:val="00FD4065"/>
    <w:rsid w:val="00FD40D3"/>
    <w:rsid w:val="00FD4384"/>
    <w:rsid w:val="00FD46E0"/>
    <w:rsid w:val="00FD473B"/>
    <w:rsid w:val="00FD4B2A"/>
    <w:rsid w:val="00FD5D36"/>
    <w:rsid w:val="00FD78C5"/>
    <w:rsid w:val="00FE0778"/>
    <w:rsid w:val="00FE0BD3"/>
    <w:rsid w:val="00FE1E7D"/>
    <w:rsid w:val="00FE1FAF"/>
    <w:rsid w:val="00FE2249"/>
    <w:rsid w:val="00FE2888"/>
    <w:rsid w:val="00FE2C89"/>
    <w:rsid w:val="00FE3161"/>
    <w:rsid w:val="00FE4380"/>
    <w:rsid w:val="00FE503A"/>
    <w:rsid w:val="00FE5CD9"/>
    <w:rsid w:val="00FF021D"/>
    <w:rsid w:val="00FF12AF"/>
    <w:rsid w:val="00FF184A"/>
    <w:rsid w:val="00FF1A79"/>
    <w:rsid w:val="00FF2354"/>
    <w:rsid w:val="00FF3341"/>
    <w:rsid w:val="00FF34A8"/>
    <w:rsid w:val="00FF36F2"/>
    <w:rsid w:val="00FF3ABA"/>
    <w:rsid w:val="00FF42B9"/>
    <w:rsid w:val="00FF61B0"/>
    <w:rsid w:val="00FF624C"/>
    <w:rsid w:val="00FF6ECA"/>
    <w:rsid w:val="00FF700F"/>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1E6B6E8B-BD5B-4590-8EA4-935D9D4E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3E"/>
    <w:pPr>
      <w:suppressAutoHyphens/>
      <w:ind w:firstLine="709"/>
      <w:jc w:val="both"/>
    </w:pPr>
    <w:rPr>
      <w:sz w:val="24"/>
      <w:szCs w:val="20"/>
      <w:lang w:eastAsia="zh-CN"/>
    </w:rPr>
  </w:style>
  <w:style w:type="paragraph" w:styleId="1">
    <w:name w:val="heading 1"/>
    <w:basedOn w:val="a"/>
    <w:next w:val="a"/>
    <w:link w:val="11"/>
    <w:uiPriority w:val="99"/>
    <w:qFormat/>
    <w:rsid w:val="00826C7D"/>
    <w:pPr>
      <w:keepNext/>
      <w:numPr>
        <w:numId w:val="1"/>
      </w:numPr>
      <w:jc w:val="center"/>
      <w:outlineLvl w:val="0"/>
    </w:pPr>
    <w:rPr>
      <w:b/>
      <w:bCs/>
      <w:u w:val="single"/>
    </w:rPr>
  </w:style>
  <w:style w:type="paragraph" w:styleId="2">
    <w:name w:val="heading 2"/>
    <w:basedOn w:val="a"/>
    <w:next w:val="a"/>
    <w:link w:val="21"/>
    <w:uiPriority w:val="99"/>
    <w:qFormat/>
    <w:rsid w:val="00826C7D"/>
    <w:pPr>
      <w:keepNext/>
      <w:numPr>
        <w:ilvl w:val="1"/>
        <w:numId w:val="1"/>
      </w:numPr>
      <w:outlineLvl w:val="1"/>
    </w:pPr>
    <w:rPr>
      <w:rFonts w:eastAsia="Arial Unicode MS"/>
      <w:sz w:val="28"/>
    </w:rPr>
  </w:style>
  <w:style w:type="paragraph" w:styleId="3">
    <w:name w:val="heading 3"/>
    <w:basedOn w:val="a"/>
    <w:next w:val="a"/>
    <w:link w:val="31"/>
    <w:uiPriority w:val="99"/>
    <w:qFormat/>
    <w:rsid w:val="00826C7D"/>
    <w:pPr>
      <w:keepNext/>
      <w:numPr>
        <w:ilvl w:val="2"/>
        <w:numId w:val="1"/>
      </w:numPr>
      <w:jc w:val="center"/>
      <w:outlineLvl w:val="2"/>
    </w:pPr>
    <w:rPr>
      <w:b/>
    </w:rPr>
  </w:style>
  <w:style w:type="paragraph" w:styleId="4">
    <w:name w:val="heading 4"/>
    <w:basedOn w:val="a"/>
    <w:next w:val="a"/>
    <w:link w:val="41"/>
    <w:uiPriority w:val="99"/>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link w:val="71"/>
    <w:uiPriority w:val="99"/>
    <w:qFormat/>
    <w:rsid w:val="00826C7D"/>
    <w:pPr>
      <w:numPr>
        <w:ilvl w:val="6"/>
        <w:numId w:val="1"/>
      </w:numPr>
      <w:spacing w:before="240" w:after="60" w:line="276" w:lineRule="auto"/>
      <w:outlineLvl w:val="6"/>
    </w:pPr>
    <w:rPr>
      <w:rFonts w:ascii="Calibri" w:hAnsi="Calibri" w:cs="Calibri"/>
      <w:szCs w:val="24"/>
    </w:rPr>
  </w:style>
  <w:style w:type="paragraph" w:styleId="8">
    <w:name w:val="heading 8"/>
    <w:basedOn w:val="a"/>
    <w:next w:val="a"/>
    <w:link w:val="81"/>
    <w:uiPriority w:val="99"/>
    <w:qFormat/>
    <w:rsid w:val="00826C7D"/>
    <w:pPr>
      <w:numPr>
        <w:ilvl w:val="7"/>
        <w:numId w:val="1"/>
      </w:numPr>
      <w:spacing w:before="240" w:after="60" w:line="276" w:lineRule="auto"/>
      <w:outlineLvl w:val="7"/>
    </w:pPr>
    <w:rPr>
      <w:rFonts w:ascii="Calibri" w:hAnsi="Calibri" w:cs="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84999"/>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284999"/>
    <w:rPr>
      <w:rFonts w:ascii="Cambria" w:hAnsi="Cambria" w:cs="Times New Roman"/>
      <w:b/>
      <w:bCs/>
      <w:i/>
      <w:iCs/>
      <w:sz w:val="28"/>
      <w:szCs w:val="28"/>
      <w:lang w:eastAsia="zh-CN"/>
    </w:rPr>
  </w:style>
  <w:style w:type="character" w:customStyle="1" w:styleId="31">
    <w:name w:val="Заголовок 3 Знак1"/>
    <w:basedOn w:val="a0"/>
    <w:link w:val="3"/>
    <w:uiPriority w:val="99"/>
    <w:semiHidden/>
    <w:locked/>
    <w:rsid w:val="0028499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284999"/>
    <w:rPr>
      <w:rFonts w:ascii="Calibri" w:hAnsi="Calibri" w:cs="Times New Roman"/>
      <w:b/>
      <w:bCs/>
      <w:sz w:val="28"/>
      <w:szCs w:val="28"/>
      <w:lang w:eastAsia="zh-CN"/>
    </w:rPr>
  </w:style>
  <w:style w:type="character" w:customStyle="1" w:styleId="71">
    <w:name w:val="Заголовок 7 Знак1"/>
    <w:basedOn w:val="a0"/>
    <w:link w:val="7"/>
    <w:uiPriority w:val="99"/>
    <w:semiHidden/>
    <w:locked/>
    <w:rsid w:val="00284999"/>
    <w:rPr>
      <w:rFonts w:ascii="Calibri" w:hAnsi="Calibri" w:cs="Times New Roman"/>
      <w:sz w:val="24"/>
      <w:szCs w:val="24"/>
      <w:lang w:eastAsia="zh-CN"/>
    </w:rPr>
  </w:style>
  <w:style w:type="character" w:customStyle="1" w:styleId="81">
    <w:name w:val="Заголовок 8 Знак1"/>
    <w:basedOn w:val="a0"/>
    <w:link w:val="8"/>
    <w:uiPriority w:val="99"/>
    <w:semiHidden/>
    <w:locked/>
    <w:rsid w:val="00284999"/>
    <w:rPr>
      <w:rFonts w:ascii="Calibri" w:hAnsi="Calibri" w:cs="Times New Roman"/>
      <w:i/>
      <w:iCs/>
      <w:sz w:val="24"/>
      <w:szCs w:val="24"/>
      <w:lang w:eastAsia="zh-CN"/>
    </w:rPr>
  </w:style>
  <w:style w:type="character" w:customStyle="1" w:styleId="12">
    <w:name w:val="Основной шрифт абзаца12"/>
    <w:uiPriority w:val="99"/>
    <w:rsid w:val="00826C7D"/>
  </w:style>
  <w:style w:type="character" w:customStyle="1" w:styleId="110">
    <w:name w:val="Основной шрифт абзаца11"/>
    <w:uiPriority w:val="99"/>
    <w:rsid w:val="00826C7D"/>
  </w:style>
  <w:style w:type="character" w:customStyle="1" w:styleId="10">
    <w:name w:val="Основной шрифт абзаца10"/>
    <w:uiPriority w:val="99"/>
    <w:rsid w:val="00826C7D"/>
  </w:style>
  <w:style w:type="character" w:customStyle="1" w:styleId="Absatz-Standardschriftart">
    <w:name w:val="Absatz-Standardschriftart"/>
    <w:uiPriority w:val="99"/>
    <w:rsid w:val="00826C7D"/>
  </w:style>
  <w:style w:type="character" w:customStyle="1" w:styleId="9">
    <w:name w:val="Основной шрифт абзаца9"/>
    <w:uiPriority w:val="99"/>
    <w:rsid w:val="00826C7D"/>
  </w:style>
  <w:style w:type="character" w:customStyle="1" w:styleId="80">
    <w:name w:val="Основной шрифт абзаца8"/>
    <w:uiPriority w:val="99"/>
    <w:rsid w:val="00826C7D"/>
  </w:style>
  <w:style w:type="character" w:customStyle="1" w:styleId="70">
    <w:name w:val="Основной шрифт абзаца7"/>
    <w:uiPriority w:val="99"/>
    <w:rsid w:val="00826C7D"/>
  </w:style>
  <w:style w:type="character" w:customStyle="1" w:styleId="6">
    <w:name w:val="Основной шрифт абзаца6"/>
    <w:uiPriority w:val="99"/>
    <w:rsid w:val="00826C7D"/>
  </w:style>
  <w:style w:type="character" w:customStyle="1" w:styleId="5">
    <w:name w:val="Основной шрифт абзаца5"/>
    <w:uiPriority w:val="99"/>
    <w:rsid w:val="00826C7D"/>
  </w:style>
  <w:style w:type="character" w:customStyle="1" w:styleId="WW-Absatz-Standardschriftart">
    <w:name w:val="WW-Absatz-Standardschriftart"/>
    <w:uiPriority w:val="99"/>
    <w:rsid w:val="00826C7D"/>
  </w:style>
  <w:style w:type="character" w:customStyle="1" w:styleId="40">
    <w:name w:val="Основной шрифт абзаца4"/>
    <w:uiPriority w:val="99"/>
    <w:rsid w:val="00826C7D"/>
  </w:style>
  <w:style w:type="character" w:customStyle="1" w:styleId="WW-Absatz-Standardschriftart1">
    <w:name w:val="WW-Absatz-Standardschriftart1"/>
    <w:uiPriority w:val="99"/>
    <w:rsid w:val="00826C7D"/>
  </w:style>
  <w:style w:type="character" w:customStyle="1" w:styleId="30">
    <w:name w:val="Основной шрифт абзаца3"/>
    <w:uiPriority w:val="99"/>
    <w:rsid w:val="00826C7D"/>
  </w:style>
  <w:style w:type="character" w:customStyle="1" w:styleId="WW-Absatz-Standardschriftart11">
    <w:name w:val="WW-Absatz-Standardschriftart11"/>
    <w:uiPriority w:val="99"/>
    <w:rsid w:val="00826C7D"/>
  </w:style>
  <w:style w:type="character" w:customStyle="1" w:styleId="WW-Absatz-Standardschriftart111">
    <w:name w:val="WW-Absatz-Standardschriftart111"/>
    <w:uiPriority w:val="99"/>
    <w:rsid w:val="00826C7D"/>
  </w:style>
  <w:style w:type="character" w:customStyle="1" w:styleId="WW-Absatz-Standardschriftart1111">
    <w:name w:val="WW-Absatz-Standardschriftart1111"/>
    <w:uiPriority w:val="99"/>
    <w:rsid w:val="00826C7D"/>
  </w:style>
  <w:style w:type="character" w:customStyle="1" w:styleId="WW-Absatz-Standardschriftart11111">
    <w:name w:val="WW-Absatz-Standardschriftart11111"/>
    <w:uiPriority w:val="99"/>
    <w:rsid w:val="00826C7D"/>
  </w:style>
  <w:style w:type="character" w:customStyle="1" w:styleId="WW8Num2z0">
    <w:name w:val="WW8Num2z0"/>
    <w:uiPriority w:val="99"/>
    <w:rsid w:val="00826C7D"/>
    <w:rPr>
      <w:rFonts w:ascii="Times New Roman" w:hAnsi="Times New Roman"/>
    </w:rPr>
  </w:style>
  <w:style w:type="character" w:customStyle="1" w:styleId="20">
    <w:name w:val="Основной шрифт абзаца2"/>
    <w:uiPriority w:val="99"/>
    <w:rsid w:val="00826C7D"/>
  </w:style>
  <w:style w:type="character" w:customStyle="1" w:styleId="WW8Num1z0">
    <w:name w:val="WW8Num1z0"/>
    <w:uiPriority w:val="99"/>
    <w:rsid w:val="00826C7D"/>
    <w:rPr>
      <w:rFonts w:ascii="Times New Roman" w:hAnsi="Times New Roman"/>
    </w:rPr>
  </w:style>
  <w:style w:type="character" w:customStyle="1" w:styleId="WW8Num2z1">
    <w:name w:val="WW8Num2z1"/>
    <w:uiPriority w:val="99"/>
    <w:rsid w:val="00826C7D"/>
    <w:rPr>
      <w:rFonts w:ascii="Courier New" w:hAnsi="Courier New"/>
    </w:rPr>
  </w:style>
  <w:style w:type="character" w:customStyle="1" w:styleId="WW8Num2z2">
    <w:name w:val="WW8Num2z2"/>
    <w:uiPriority w:val="99"/>
    <w:rsid w:val="00826C7D"/>
    <w:rPr>
      <w:rFonts w:ascii="Wingdings" w:hAnsi="Wingdings"/>
    </w:rPr>
  </w:style>
  <w:style w:type="character" w:customStyle="1" w:styleId="WW8Num2z3">
    <w:name w:val="WW8Num2z3"/>
    <w:uiPriority w:val="99"/>
    <w:rsid w:val="00826C7D"/>
    <w:rPr>
      <w:rFonts w:ascii="Symbol" w:hAnsi="Symbol"/>
    </w:rPr>
  </w:style>
  <w:style w:type="character" w:customStyle="1" w:styleId="WW8Num6z0">
    <w:name w:val="WW8Num6z0"/>
    <w:uiPriority w:val="99"/>
    <w:rsid w:val="00826C7D"/>
    <w:rPr>
      <w:rFonts w:ascii="Wingdings" w:hAnsi="Wingdings"/>
    </w:rPr>
  </w:style>
  <w:style w:type="character" w:customStyle="1" w:styleId="WW8Num6z1">
    <w:name w:val="WW8Num6z1"/>
    <w:uiPriority w:val="99"/>
    <w:rsid w:val="00826C7D"/>
    <w:rPr>
      <w:rFonts w:ascii="Courier New" w:hAnsi="Courier New"/>
    </w:rPr>
  </w:style>
  <w:style w:type="character" w:customStyle="1" w:styleId="WW8Num6z3">
    <w:name w:val="WW8Num6z3"/>
    <w:uiPriority w:val="99"/>
    <w:rsid w:val="00826C7D"/>
    <w:rPr>
      <w:rFonts w:ascii="Symbol" w:hAnsi="Symbol"/>
    </w:rPr>
  </w:style>
  <w:style w:type="character" w:customStyle="1" w:styleId="WW8Num7z0">
    <w:name w:val="WW8Num7z0"/>
    <w:uiPriority w:val="99"/>
    <w:rsid w:val="00826C7D"/>
    <w:rPr>
      <w:rFonts w:ascii="Symbol" w:hAnsi="Symbol"/>
    </w:rPr>
  </w:style>
  <w:style w:type="character" w:customStyle="1" w:styleId="WW8Num7z1">
    <w:name w:val="WW8Num7z1"/>
    <w:uiPriority w:val="99"/>
    <w:rsid w:val="00826C7D"/>
    <w:rPr>
      <w:rFonts w:ascii="Courier New" w:hAnsi="Courier New"/>
    </w:rPr>
  </w:style>
  <w:style w:type="character" w:customStyle="1" w:styleId="WW8Num7z2">
    <w:name w:val="WW8Num7z2"/>
    <w:uiPriority w:val="99"/>
    <w:rsid w:val="00826C7D"/>
    <w:rPr>
      <w:rFonts w:ascii="Wingdings" w:hAnsi="Wingdings"/>
    </w:rPr>
  </w:style>
  <w:style w:type="character" w:customStyle="1" w:styleId="13">
    <w:name w:val="Основной шрифт абзаца1"/>
    <w:uiPriority w:val="99"/>
    <w:rsid w:val="00826C7D"/>
  </w:style>
  <w:style w:type="character" w:styleId="a3">
    <w:name w:val="page number"/>
    <w:basedOn w:val="13"/>
    <w:uiPriority w:val="99"/>
    <w:rsid w:val="00826C7D"/>
    <w:rPr>
      <w:rFonts w:cs="Times New Roman"/>
    </w:rPr>
  </w:style>
  <w:style w:type="character" w:customStyle="1" w:styleId="a4">
    <w:name w:val="Гипертекстовая ссылка"/>
    <w:uiPriority w:val="99"/>
    <w:rsid w:val="00826C7D"/>
    <w:rPr>
      <w:color w:val="008000"/>
    </w:rPr>
  </w:style>
  <w:style w:type="character" w:customStyle="1" w:styleId="BodyTextIndent2Char">
    <w:name w:val="Body Text Indent 2 Char"/>
    <w:uiPriority w:val="99"/>
    <w:locked/>
    <w:rsid w:val="00826C7D"/>
    <w:rPr>
      <w:sz w:val="24"/>
      <w:lang w:val="ru-RU"/>
    </w:rPr>
  </w:style>
  <w:style w:type="character" w:customStyle="1" w:styleId="a5">
    <w:name w:val="Текст Знак"/>
    <w:uiPriority w:val="99"/>
    <w:rsid w:val="00826C7D"/>
    <w:rPr>
      <w:rFonts w:ascii="Courier New" w:hAnsi="Courier New"/>
      <w:lang w:val="ru-RU"/>
    </w:rPr>
  </w:style>
  <w:style w:type="character" w:customStyle="1" w:styleId="TitleChar">
    <w:name w:val="Title Char"/>
    <w:uiPriority w:val="99"/>
    <w:locked/>
    <w:rsid w:val="00826C7D"/>
    <w:rPr>
      <w:b/>
      <w:sz w:val="24"/>
      <w:lang w:val="ru-RU"/>
    </w:rPr>
  </w:style>
  <w:style w:type="character" w:customStyle="1" w:styleId="a6">
    <w:name w:val="Основной текст с отступом Знак"/>
    <w:uiPriority w:val="99"/>
    <w:rsid w:val="00826C7D"/>
    <w:rPr>
      <w:sz w:val="24"/>
      <w:lang w:val="ru-RU"/>
    </w:rPr>
  </w:style>
  <w:style w:type="character" w:styleId="a7">
    <w:name w:val="Strong"/>
    <w:basedOn w:val="a0"/>
    <w:uiPriority w:val="22"/>
    <w:qFormat/>
    <w:rsid w:val="00826C7D"/>
    <w:rPr>
      <w:rFonts w:cs="Times New Roman"/>
      <w:b/>
    </w:rPr>
  </w:style>
  <w:style w:type="character" w:customStyle="1" w:styleId="a8">
    <w:name w:val="Нижний колонтитул Знак"/>
    <w:basedOn w:val="13"/>
    <w:uiPriority w:val="99"/>
    <w:rsid w:val="00826C7D"/>
    <w:rPr>
      <w:rFonts w:cs="Times New Roman"/>
    </w:rPr>
  </w:style>
  <w:style w:type="character" w:customStyle="1" w:styleId="a9">
    <w:name w:val="Текст концевой сноски Знак"/>
    <w:basedOn w:val="13"/>
    <w:uiPriority w:val="99"/>
    <w:rsid w:val="00826C7D"/>
    <w:rPr>
      <w:rFonts w:cs="Times New Roman"/>
    </w:rPr>
  </w:style>
  <w:style w:type="character" w:customStyle="1" w:styleId="aa">
    <w:name w:val="Символы концевой сноски"/>
    <w:uiPriority w:val="99"/>
    <w:rsid w:val="00826C7D"/>
    <w:rPr>
      <w:vertAlign w:val="superscript"/>
    </w:rPr>
  </w:style>
  <w:style w:type="character" w:customStyle="1" w:styleId="ab">
    <w:name w:val="Текст сноски Знак"/>
    <w:basedOn w:val="13"/>
    <w:uiPriority w:val="99"/>
    <w:rsid w:val="00826C7D"/>
    <w:rPr>
      <w:rFonts w:cs="Times New Roman"/>
    </w:rPr>
  </w:style>
  <w:style w:type="character" w:customStyle="1" w:styleId="ac">
    <w:name w:val="Символ сноски"/>
    <w:uiPriority w:val="99"/>
    <w:rsid w:val="00826C7D"/>
    <w:rPr>
      <w:vertAlign w:val="superscript"/>
    </w:rPr>
  </w:style>
  <w:style w:type="character" w:customStyle="1" w:styleId="22">
    <w:name w:val="Основной текст 2 Знак"/>
    <w:basedOn w:val="13"/>
    <w:uiPriority w:val="99"/>
    <w:rsid w:val="00826C7D"/>
    <w:rPr>
      <w:rFonts w:cs="Times New Roman"/>
    </w:rPr>
  </w:style>
  <w:style w:type="character" w:customStyle="1" w:styleId="72">
    <w:name w:val="Заголовок 7 Знак"/>
    <w:uiPriority w:val="99"/>
    <w:rsid w:val="00826C7D"/>
    <w:rPr>
      <w:rFonts w:ascii="Calibri" w:hAnsi="Calibri"/>
      <w:sz w:val="24"/>
    </w:rPr>
  </w:style>
  <w:style w:type="character" w:customStyle="1" w:styleId="82">
    <w:name w:val="Заголовок 8 Знак"/>
    <w:uiPriority w:val="99"/>
    <w:rsid w:val="00826C7D"/>
    <w:rPr>
      <w:rFonts w:ascii="Calibri" w:hAnsi="Calibri"/>
      <w:i/>
      <w:sz w:val="24"/>
    </w:rPr>
  </w:style>
  <w:style w:type="character" w:customStyle="1" w:styleId="ad">
    <w:name w:val="Основной текст Знак"/>
    <w:uiPriority w:val="99"/>
    <w:rsid w:val="00826C7D"/>
    <w:rPr>
      <w:sz w:val="24"/>
    </w:rPr>
  </w:style>
  <w:style w:type="character" w:customStyle="1" w:styleId="BodyTextIndent3Char">
    <w:name w:val="Body Text Indent 3 Char"/>
    <w:uiPriority w:val="99"/>
    <w:locked/>
    <w:rsid w:val="00826C7D"/>
    <w:rPr>
      <w:sz w:val="24"/>
    </w:rPr>
  </w:style>
  <w:style w:type="character" w:customStyle="1" w:styleId="14">
    <w:name w:val="Заголовок 1 Знак"/>
    <w:uiPriority w:val="99"/>
    <w:rsid w:val="00826C7D"/>
    <w:rPr>
      <w:b/>
      <w:sz w:val="24"/>
      <w:u w:val="single"/>
    </w:rPr>
  </w:style>
  <w:style w:type="character" w:customStyle="1" w:styleId="23">
    <w:name w:val="Заголовок 2 Знак"/>
    <w:uiPriority w:val="99"/>
    <w:rsid w:val="00826C7D"/>
    <w:rPr>
      <w:rFonts w:eastAsia="Arial Unicode MS"/>
      <w:sz w:val="28"/>
    </w:rPr>
  </w:style>
  <w:style w:type="character" w:customStyle="1" w:styleId="32">
    <w:name w:val="Заголовок 3 Знак"/>
    <w:uiPriority w:val="99"/>
    <w:rsid w:val="00826C7D"/>
    <w:rPr>
      <w:b/>
      <w:sz w:val="24"/>
    </w:rPr>
  </w:style>
  <w:style w:type="character" w:customStyle="1" w:styleId="ae">
    <w:name w:val="Верхний колонтитул Знак"/>
    <w:basedOn w:val="13"/>
    <w:uiPriority w:val="99"/>
    <w:rsid w:val="00826C7D"/>
    <w:rPr>
      <w:rFonts w:cs="Times New Roman"/>
    </w:rPr>
  </w:style>
  <w:style w:type="character" w:customStyle="1" w:styleId="af">
    <w:name w:val="Без интервала Знак"/>
    <w:rsid w:val="00826C7D"/>
    <w:rPr>
      <w:rFonts w:ascii="Calibri" w:hAnsi="Calibri"/>
      <w:sz w:val="22"/>
      <w:lang w:val="ru-RU"/>
    </w:rPr>
  </w:style>
  <w:style w:type="character" w:customStyle="1" w:styleId="apple-converted-space">
    <w:name w:val="apple-converted-space"/>
    <w:basedOn w:val="13"/>
    <w:rsid w:val="00826C7D"/>
    <w:rPr>
      <w:rFonts w:cs="Times New Roman"/>
    </w:rPr>
  </w:style>
  <w:style w:type="character" w:customStyle="1" w:styleId="42">
    <w:name w:val="Заголовок 4 Знак"/>
    <w:uiPriority w:val="99"/>
    <w:rsid w:val="00826C7D"/>
    <w:rPr>
      <w:rFonts w:ascii="Calibri" w:hAnsi="Calibri"/>
      <w:b/>
      <w:sz w:val="28"/>
    </w:rPr>
  </w:style>
  <w:style w:type="character" w:customStyle="1" w:styleId="210">
    <w:name w:val="Основной текст с отступом 2 Знак1"/>
    <w:basedOn w:val="80"/>
    <w:uiPriority w:val="99"/>
    <w:rsid w:val="00826C7D"/>
    <w:rPr>
      <w:rFonts w:cs="Times New Roman"/>
    </w:rPr>
  </w:style>
  <w:style w:type="character" w:customStyle="1" w:styleId="15">
    <w:name w:val="Название Знак1"/>
    <w:uiPriority w:val="99"/>
    <w:rsid w:val="00826C7D"/>
    <w:rPr>
      <w:rFonts w:ascii="Cambria" w:hAnsi="Cambria"/>
      <w:b/>
      <w:kern w:val="1"/>
      <w:sz w:val="32"/>
    </w:rPr>
  </w:style>
  <w:style w:type="character" w:customStyle="1" w:styleId="FontStyle12">
    <w:name w:val="Font Style12"/>
    <w:uiPriority w:val="99"/>
    <w:rsid w:val="00826C7D"/>
    <w:rPr>
      <w:rFonts w:ascii="Times New Roman" w:hAnsi="Times New Roman"/>
      <w:sz w:val="28"/>
    </w:rPr>
  </w:style>
  <w:style w:type="paragraph" w:customStyle="1" w:styleId="16">
    <w:name w:val="Заголовок1"/>
    <w:basedOn w:val="a"/>
    <w:next w:val="af0"/>
    <w:uiPriority w:val="99"/>
    <w:rsid w:val="00826C7D"/>
    <w:pPr>
      <w:keepNext/>
      <w:spacing w:before="240" w:after="120"/>
    </w:pPr>
    <w:rPr>
      <w:rFonts w:ascii="Arial" w:eastAsia="Microsoft YaHei" w:hAnsi="Arial" w:cs="Mangal"/>
      <w:sz w:val="28"/>
      <w:szCs w:val="28"/>
    </w:rPr>
  </w:style>
  <w:style w:type="paragraph" w:styleId="af0">
    <w:name w:val="Body Text"/>
    <w:basedOn w:val="a"/>
    <w:link w:val="17"/>
    <w:uiPriority w:val="99"/>
    <w:rsid w:val="00826C7D"/>
  </w:style>
  <w:style w:type="character" w:customStyle="1" w:styleId="17">
    <w:name w:val="Основной текст Знак1"/>
    <w:basedOn w:val="a0"/>
    <w:link w:val="af0"/>
    <w:uiPriority w:val="99"/>
    <w:locked/>
    <w:rsid w:val="00284999"/>
    <w:rPr>
      <w:rFonts w:cs="Times New Roman"/>
      <w:sz w:val="20"/>
      <w:szCs w:val="20"/>
      <w:lang w:eastAsia="zh-CN"/>
    </w:rPr>
  </w:style>
  <w:style w:type="paragraph" w:styleId="af1">
    <w:name w:val="List"/>
    <w:basedOn w:val="af0"/>
    <w:uiPriority w:val="99"/>
    <w:rsid w:val="00826C7D"/>
    <w:rPr>
      <w:rFonts w:cs="Mangal"/>
    </w:rPr>
  </w:style>
  <w:style w:type="paragraph" w:styleId="af2">
    <w:name w:val="caption"/>
    <w:basedOn w:val="a"/>
    <w:uiPriority w:val="99"/>
    <w:qFormat/>
    <w:rsid w:val="00826C7D"/>
    <w:pPr>
      <w:suppressLineNumbers/>
      <w:spacing w:before="120" w:after="120"/>
    </w:pPr>
    <w:rPr>
      <w:rFonts w:cs="Mangal"/>
      <w:i/>
      <w:iCs/>
      <w:szCs w:val="24"/>
    </w:rPr>
  </w:style>
  <w:style w:type="paragraph" w:customStyle="1" w:styleId="120">
    <w:name w:val="Указатель12"/>
    <w:basedOn w:val="a"/>
    <w:uiPriority w:val="99"/>
    <w:rsid w:val="00826C7D"/>
    <w:pPr>
      <w:suppressLineNumbers/>
    </w:pPr>
    <w:rPr>
      <w:rFonts w:cs="Mangal"/>
    </w:rPr>
  </w:style>
  <w:style w:type="paragraph" w:customStyle="1" w:styleId="43">
    <w:name w:val="Название объекта4"/>
    <w:basedOn w:val="a"/>
    <w:uiPriority w:val="99"/>
    <w:rsid w:val="00826C7D"/>
    <w:pPr>
      <w:suppressLineNumbers/>
      <w:spacing w:before="120" w:after="120"/>
    </w:pPr>
    <w:rPr>
      <w:rFonts w:cs="Mangal"/>
      <w:i/>
      <w:iCs/>
      <w:szCs w:val="24"/>
    </w:rPr>
  </w:style>
  <w:style w:type="paragraph" w:customStyle="1" w:styleId="111">
    <w:name w:val="Указатель11"/>
    <w:basedOn w:val="a"/>
    <w:uiPriority w:val="99"/>
    <w:rsid w:val="00826C7D"/>
    <w:pPr>
      <w:suppressLineNumbers/>
    </w:pPr>
    <w:rPr>
      <w:rFonts w:cs="Mangal"/>
    </w:rPr>
  </w:style>
  <w:style w:type="paragraph" w:customStyle="1" w:styleId="33">
    <w:name w:val="Название объекта3"/>
    <w:basedOn w:val="a"/>
    <w:uiPriority w:val="99"/>
    <w:rsid w:val="00826C7D"/>
    <w:pPr>
      <w:suppressLineNumbers/>
      <w:spacing w:before="120" w:after="120"/>
    </w:pPr>
    <w:rPr>
      <w:rFonts w:cs="Mangal"/>
      <w:i/>
      <w:iCs/>
      <w:szCs w:val="24"/>
    </w:rPr>
  </w:style>
  <w:style w:type="paragraph" w:customStyle="1" w:styleId="100">
    <w:name w:val="Указатель10"/>
    <w:basedOn w:val="a"/>
    <w:uiPriority w:val="99"/>
    <w:rsid w:val="00826C7D"/>
    <w:pPr>
      <w:suppressLineNumbers/>
    </w:pPr>
    <w:rPr>
      <w:rFonts w:cs="Mangal"/>
    </w:rPr>
  </w:style>
  <w:style w:type="paragraph" w:customStyle="1" w:styleId="73">
    <w:name w:val="Название7"/>
    <w:basedOn w:val="a"/>
    <w:next w:val="af3"/>
    <w:uiPriority w:val="99"/>
    <w:rsid w:val="00826C7D"/>
    <w:pPr>
      <w:suppressAutoHyphens w:val="0"/>
      <w:jc w:val="center"/>
    </w:pPr>
    <w:rPr>
      <w:b/>
      <w:bCs/>
    </w:rPr>
  </w:style>
  <w:style w:type="paragraph" w:customStyle="1" w:styleId="90">
    <w:name w:val="Указатель9"/>
    <w:basedOn w:val="a"/>
    <w:uiPriority w:val="99"/>
    <w:rsid w:val="00826C7D"/>
    <w:pPr>
      <w:suppressLineNumbers/>
    </w:pPr>
    <w:rPr>
      <w:rFonts w:cs="Mangal"/>
    </w:rPr>
  </w:style>
  <w:style w:type="paragraph" w:customStyle="1" w:styleId="60">
    <w:name w:val="Название6"/>
    <w:basedOn w:val="a"/>
    <w:uiPriority w:val="99"/>
    <w:rsid w:val="00826C7D"/>
    <w:pPr>
      <w:suppressLineNumbers/>
      <w:spacing w:before="120" w:after="120"/>
    </w:pPr>
    <w:rPr>
      <w:rFonts w:cs="Mangal"/>
      <w:i/>
      <w:iCs/>
      <w:szCs w:val="24"/>
    </w:rPr>
  </w:style>
  <w:style w:type="paragraph" w:customStyle="1" w:styleId="83">
    <w:name w:val="Указатель8"/>
    <w:basedOn w:val="a"/>
    <w:uiPriority w:val="99"/>
    <w:rsid w:val="00826C7D"/>
    <w:pPr>
      <w:suppressLineNumbers/>
    </w:pPr>
    <w:rPr>
      <w:rFonts w:cs="Mangal"/>
    </w:rPr>
  </w:style>
  <w:style w:type="paragraph" w:customStyle="1" w:styleId="50">
    <w:name w:val="Название5"/>
    <w:basedOn w:val="a"/>
    <w:uiPriority w:val="99"/>
    <w:rsid w:val="00826C7D"/>
    <w:pPr>
      <w:suppressLineNumbers/>
      <w:spacing w:before="120" w:after="120"/>
    </w:pPr>
    <w:rPr>
      <w:rFonts w:cs="Mangal"/>
      <w:i/>
      <w:iCs/>
      <w:szCs w:val="24"/>
    </w:rPr>
  </w:style>
  <w:style w:type="paragraph" w:customStyle="1" w:styleId="74">
    <w:name w:val="Указатель7"/>
    <w:basedOn w:val="a"/>
    <w:uiPriority w:val="99"/>
    <w:rsid w:val="00826C7D"/>
    <w:pPr>
      <w:suppressLineNumbers/>
    </w:pPr>
    <w:rPr>
      <w:rFonts w:cs="Mangal"/>
    </w:rPr>
  </w:style>
  <w:style w:type="paragraph" w:customStyle="1" w:styleId="44">
    <w:name w:val="Название4"/>
    <w:basedOn w:val="a"/>
    <w:uiPriority w:val="99"/>
    <w:rsid w:val="00826C7D"/>
    <w:pPr>
      <w:suppressLineNumbers/>
      <w:spacing w:before="120" w:after="120"/>
    </w:pPr>
    <w:rPr>
      <w:rFonts w:cs="Mangal"/>
      <w:i/>
      <w:iCs/>
      <w:szCs w:val="24"/>
    </w:rPr>
  </w:style>
  <w:style w:type="paragraph" w:customStyle="1" w:styleId="61">
    <w:name w:val="Указатель6"/>
    <w:basedOn w:val="a"/>
    <w:uiPriority w:val="99"/>
    <w:rsid w:val="00826C7D"/>
    <w:pPr>
      <w:suppressLineNumbers/>
    </w:pPr>
    <w:rPr>
      <w:rFonts w:cs="Mangal"/>
    </w:rPr>
  </w:style>
  <w:style w:type="paragraph" w:customStyle="1" w:styleId="24">
    <w:name w:val="Название объекта2"/>
    <w:basedOn w:val="a"/>
    <w:uiPriority w:val="99"/>
    <w:rsid w:val="00826C7D"/>
    <w:pPr>
      <w:suppressLineNumbers/>
      <w:spacing w:before="120" w:after="120"/>
    </w:pPr>
    <w:rPr>
      <w:rFonts w:cs="Mangal"/>
      <w:i/>
      <w:iCs/>
      <w:szCs w:val="24"/>
    </w:rPr>
  </w:style>
  <w:style w:type="paragraph" w:customStyle="1" w:styleId="51">
    <w:name w:val="Указатель5"/>
    <w:basedOn w:val="a"/>
    <w:uiPriority w:val="99"/>
    <w:rsid w:val="00826C7D"/>
    <w:pPr>
      <w:suppressLineNumbers/>
    </w:pPr>
    <w:rPr>
      <w:rFonts w:cs="Mangal"/>
    </w:rPr>
  </w:style>
  <w:style w:type="paragraph" w:customStyle="1" w:styleId="34">
    <w:name w:val="Название3"/>
    <w:basedOn w:val="a"/>
    <w:uiPriority w:val="99"/>
    <w:rsid w:val="00826C7D"/>
    <w:pPr>
      <w:suppressLineNumbers/>
      <w:spacing w:before="120" w:after="120"/>
    </w:pPr>
    <w:rPr>
      <w:rFonts w:cs="Mangal"/>
      <w:i/>
      <w:iCs/>
      <w:szCs w:val="24"/>
    </w:rPr>
  </w:style>
  <w:style w:type="paragraph" w:customStyle="1" w:styleId="45">
    <w:name w:val="Указатель4"/>
    <w:basedOn w:val="a"/>
    <w:uiPriority w:val="99"/>
    <w:rsid w:val="00826C7D"/>
    <w:pPr>
      <w:suppressLineNumbers/>
    </w:pPr>
    <w:rPr>
      <w:rFonts w:cs="Mangal"/>
    </w:rPr>
  </w:style>
  <w:style w:type="paragraph" w:customStyle="1" w:styleId="18">
    <w:name w:val="Название объекта1"/>
    <w:basedOn w:val="a"/>
    <w:next w:val="af3"/>
    <w:uiPriority w:val="99"/>
    <w:rsid w:val="00826C7D"/>
    <w:pPr>
      <w:jc w:val="center"/>
    </w:pPr>
    <w:rPr>
      <w:b/>
      <w:bCs/>
    </w:rPr>
  </w:style>
  <w:style w:type="paragraph" w:customStyle="1" w:styleId="35">
    <w:name w:val="Указатель3"/>
    <w:basedOn w:val="a"/>
    <w:uiPriority w:val="99"/>
    <w:rsid w:val="00826C7D"/>
    <w:pPr>
      <w:suppressLineNumbers/>
    </w:pPr>
    <w:rPr>
      <w:rFonts w:cs="Mangal"/>
    </w:rPr>
  </w:style>
  <w:style w:type="paragraph" w:customStyle="1" w:styleId="25">
    <w:name w:val="Название2"/>
    <w:basedOn w:val="a"/>
    <w:uiPriority w:val="99"/>
    <w:rsid w:val="00826C7D"/>
    <w:pPr>
      <w:suppressLineNumbers/>
      <w:spacing w:before="120" w:after="120"/>
    </w:pPr>
    <w:rPr>
      <w:rFonts w:cs="Mangal"/>
      <w:i/>
      <w:iCs/>
      <w:szCs w:val="24"/>
    </w:rPr>
  </w:style>
  <w:style w:type="paragraph" w:customStyle="1" w:styleId="26">
    <w:name w:val="Указатель2"/>
    <w:basedOn w:val="a"/>
    <w:uiPriority w:val="99"/>
    <w:rsid w:val="00826C7D"/>
    <w:pPr>
      <w:suppressLineNumbers/>
    </w:pPr>
    <w:rPr>
      <w:rFonts w:cs="Mangal"/>
    </w:rPr>
  </w:style>
  <w:style w:type="paragraph" w:customStyle="1" w:styleId="19">
    <w:name w:val="Название1"/>
    <w:basedOn w:val="a"/>
    <w:uiPriority w:val="99"/>
    <w:rsid w:val="00826C7D"/>
    <w:pPr>
      <w:suppressLineNumbers/>
      <w:spacing w:before="120" w:after="120"/>
    </w:pPr>
    <w:rPr>
      <w:rFonts w:cs="Mangal"/>
      <w:i/>
      <w:iCs/>
      <w:szCs w:val="24"/>
    </w:rPr>
  </w:style>
  <w:style w:type="paragraph" w:customStyle="1" w:styleId="1a">
    <w:name w:val="Указатель1"/>
    <w:basedOn w:val="a"/>
    <w:uiPriority w:val="99"/>
    <w:rsid w:val="00826C7D"/>
    <w:pPr>
      <w:suppressLineNumbers/>
    </w:pPr>
    <w:rPr>
      <w:rFonts w:cs="Mangal"/>
    </w:rPr>
  </w:style>
  <w:style w:type="paragraph" w:customStyle="1" w:styleId="ConsPlusNormal">
    <w:name w:val="ConsPlusNormal"/>
    <w:rsid w:val="00826C7D"/>
    <w:pPr>
      <w:widowControl w:val="0"/>
      <w:suppressAutoHyphens/>
      <w:autoSpaceDE w:val="0"/>
      <w:ind w:firstLine="720"/>
    </w:pPr>
    <w:rPr>
      <w:rFonts w:ascii="Arial" w:hAnsi="Arial" w:cs="Arial"/>
      <w:sz w:val="20"/>
      <w:szCs w:val="20"/>
      <w:lang w:eastAsia="zh-CN"/>
    </w:rPr>
  </w:style>
  <w:style w:type="paragraph" w:styleId="af3">
    <w:name w:val="Subtitle"/>
    <w:basedOn w:val="16"/>
    <w:next w:val="af0"/>
    <w:link w:val="af4"/>
    <w:uiPriority w:val="99"/>
    <w:qFormat/>
    <w:rsid w:val="00826C7D"/>
    <w:pPr>
      <w:jc w:val="center"/>
    </w:pPr>
    <w:rPr>
      <w:rFonts w:cs="Times New Roman"/>
      <w:i/>
      <w:iCs/>
    </w:rPr>
  </w:style>
  <w:style w:type="character" w:customStyle="1" w:styleId="af4">
    <w:name w:val="Подзаголовок Знак"/>
    <w:basedOn w:val="a0"/>
    <w:link w:val="af3"/>
    <w:uiPriority w:val="99"/>
    <w:locked/>
    <w:rsid w:val="002A65CC"/>
    <w:rPr>
      <w:rFonts w:ascii="Arial" w:eastAsia="Microsoft YaHei" w:hAnsi="Arial" w:cs="Times New Roman"/>
      <w:i/>
      <w:sz w:val="28"/>
      <w:lang w:eastAsia="zh-CN"/>
    </w:rPr>
  </w:style>
  <w:style w:type="paragraph" w:styleId="af5">
    <w:name w:val="Body Text Indent"/>
    <w:basedOn w:val="a"/>
    <w:link w:val="1b"/>
    <w:uiPriority w:val="99"/>
    <w:rsid w:val="00826C7D"/>
    <w:pPr>
      <w:ind w:right="-766" w:firstLine="720"/>
    </w:pPr>
  </w:style>
  <w:style w:type="character" w:customStyle="1" w:styleId="1b">
    <w:name w:val="Основной текст с отступом Знак1"/>
    <w:basedOn w:val="a0"/>
    <w:link w:val="af5"/>
    <w:uiPriority w:val="99"/>
    <w:locked/>
    <w:rsid w:val="00284999"/>
    <w:rPr>
      <w:rFonts w:cs="Times New Roman"/>
      <w:sz w:val="20"/>
      <w:szCs w:val="20"/>
      <w:lang w:eastAsia="zh-CN"/>
    </w:rPr>
  </w:style>
  <w:style w:type="paragraph" w:customStyle="1" w:styleId="220">
    <w:name w:val="Основной текст с отступом 22"/>
    <w:basedOn w:val="a"/>
    <w:uiPriority w:val="99"/>
    <w:rsid w:val="00826C7D"/>
    <w:pPr>
      <w:ind w:right="-1050" w:firstLine="720"/>
    </w:pPr>
  </w:style>
  <w:style w:type="paragraph" w:customStyle="1" w:styleId="310">
    <w:name w:val="Основной текст с отступом 31"/>
    <w:basedOn w:val="a"/>
    <w:uiPriority w:val="99"/>
    <w:rsid w:val="00826C7D"/>
    <w:pPr>
      <w:ind w:left="780"/>
    </w:pPr>
  </w:style>
  <w:style w:type="paragraph" w:customStyle="1" w:styleId="af6">
    <w:name w:val="Знак"/>
    <w:basedOn w:val="a"/>
    <w:uiPriority w:val="99"/>
    <w:rsid w:val="00826C7D"/>
    <w:pPr>
      <w:widowControl w:val="0"/>
      <w:spacing w:after="160" w:line="240" w:lineRule="exact"/>
      <w:jc w:val="right"/>
    </w:pPr>
    <w:rPr>
      <w:lang w:val="en-GB"/>
    </w:rPr>
  </w:style>
  <w:style w:type="paragraph" w:styleId="af7">
    <w:name w:val="header"/>
    <w:basedOn w:val="a"/>
    <w:link w:val="1c"/>
    <w:uiPriority w:val="99"/>
    <w:rsid w:val="00826C7D"/>
    <w:pPr>
      <w:tabs>
        <w:tab w:val="center" w:pos="4677"/>
        <w:tab w:val="right" w:pos="9355"/>
      </w:tabs>
    </w:pPr>
  </w:style>
  <w:style w:type="character" w:customStyle="1" w:styleId="1c">
    <w:name w:val="Верхний колонтитул Знак1"/>
    <w:basedOn w:val="a0"/>
    <w:link w:val="af7"/>
    <w:uiPriority w:val="99"/>
    <w:semiHidden/>
    <w:locked/>
    <w:rsid w:val="00284999"/>
    <w:rPr>
      <w:rFonts w:cs="Times New Roman"/>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6C7D"/>
    <w:rPr>
      <w:rFonts w:ascii="Verdana" w:hAnsi="Verdana" w:cs="Verdana"/>
      <w:lang w:val="en-US"/>
    </w:rPr>
  </w:style>
  <w:style w:type="paragraph" w:customStyle="1" w:styleId="1d">
    <w:name w:val="Без интервала1"/>
    <w:uiPriority w:val="99"/>
    <w:rsid w:val="00826C7D"/>
    <w:pPr>
      <w:suppressAutoHyphens/>
    </w:pPr>
    <w:rPr>
      <w:rFonts w:ascii="Calibri" w:hAnsi="Calibri" w:cs="Calibri"/>
      <w:lang w:eastAsia="zh-CN"/>
    </w:rPr>
  </w:style>
  <w:style w:type="paragraph" w:customStyle="1" w:styleId="211">
    <w:name w:val="Основной текст с отступом 21"/>
    <w:basedOn w:val="a"/>
    <w:uiPriority w:val="99"/>
    <w:rsid w:val="00826C7D"/>
    <w:pPr>
      <w:ind w:firstLine="851"/>
    </w:pPr>
  </w:style>
  <w:style w:type="paragraph" w:styleId="af8">
    <w:name w:val="No Spacing"/>
    <w:link w:val="1e"/>
    <w:uiPriority w:val="1"/>
    <w:qFormat/>
    <w:rsid w:val="00826C7D"/>
    <w:pPr>
      <w:suppressAutoHyphens/>
    </w:pPr>
    <w:rPr>
      <w:rFonts w:ascii="Calibri" w:hAnsi="Calibri" w:cs="Calibri"/>
      <w:lang w:eastAsia="zh-CN"/>
    </w:rPr>
  </w:style>
  <w:style w:type="paragraph" w:customStyle="1" w:styleId="1f">
    <w:name w:val="Обычный1"/>
    <w:uiPriority w:val="99"/>
    <w:rsid w:val="00826C7D"/>
    <w:pPr>
      <w:widowControl w:val="0"/>
      <w:suppressAutoHyphens/>
      <w:spacing w:line="300" w:lineRule="auto"/>
      <w:ind w:firstLine="720"/>
      <w:jc w:val="both"/>
    </w:pPr>
    <w:rPr>
      <w:szCs w:val="20"/>
      <w:lang w:eastAsia="zh-CN"/>
    </w:rPr>
  </w:style>
  <w:style w:type="paragraph" w:customStyle="1" w:styleId="ConsNormal">
    <w:name w:val="ConsNormal"/>
    <w:uiPriority w:val="99"/>
    <w:rsid w:val="00826C7D"/>
    <w:pPr>
      <w:widowControl w:val="0"/>
      <w:suppressAutoHyphens/>
      <w:snapToGrid w:val="0"/>
      <w:ind w:firstLine="720"/>
    </w:pPr>
    <w:rPr>
      <w:rFonts w:ascii="Arial" w:hAnsi="Arial" w:cs="Arial"/>
      <w:szCs w:val="20"/>
      <w:lang w:eastAsia="zh-CN"/>
    </w:rPr>
  </w:style>
  <w:style w:type="paragraph" w:styleId="af9">
    <w:name w:val="Normal (Web)"/>
    <w:aliases w:val="Обычный (веб)1,Обычный (веб) Знак,Обычный (веб) Знак1,Обычный (веб) Знак Знак"/>
    <w:basedOn w:val="a"/>
    <w:rsid w:val="00826C7D"/>
    <w:pPr>
      <w:spacing w:after="240"/>
    </w:pPr>
    <w:rPr>
      <w:szCs w:val="24"/>
    </w:rPr>
  </w:style>
  <w:style w:type="paragraph" w:customStyle="1" w:styleId="ConsPlusNonformat">
    <w:name w:val="ConsPlusNonformat"/>
    <w:uiPriority w:val="99"/>
    <w:rsid w:val="00826C7D"/>
    <w:pPr>
      <w:suppressAutoHyphens/>
      <w:autoSpaceDE w:val="0"/>
    </w:pPr>
    <w:rPr>
      <w:rFonts w:ascii="Courier New" w:hAnsi="Courier New" w:cs="Courier New"/>
      <w:sz w:val="20"/>
      <w:szCs w:val="20"/>
      <w:lang w:eastAsia="zh-CN"/>
    </w:rPr>
  </w:style>
  <w:style w:type="paragraph" w:customStyle="1" w:styleId="212">
    <w:name w:val="Основной текст 21"/>
    <w:basedOn w:val="a"/>
    <w:uiPriority w:val="99"/>
    <w:rsid w:val="00826C7D"/>
  </w:style>
  <w:style w:type="paragraph" w:customStyle="1" w:styleId="afa">
    <w:name w:val="Знак Знак Знак Знак Знак Знак"/>
    <w:basedOn w:val="a"/>
    <w:uiPriority w:val="99"/>
    <w:rsid w:val="00826C7D"/>
    <w:pPr>
      <w:spacing w:after="160" w:line="240" w:lineRule="exact"/>
    </w:pPr>
    <w:rPr>
      <w:rFonts w:ascii="Verdana" w:hAnsi="Verdana" w:cs="Verdana"/>
      <w:lang w:val="en-US"/>
    </w:rPr>
  </w:style>
  <w:style w:type="paragraph" w:customStyle="1" w:styleId="1f0">
    <w:name w:val="Текст1"/>
    <w:basedOn w:val="a"/>
    <w:uiPriority w:val="99"/>
    <w:rsid w:val="00826C7D"/>
    <w:rPr>
      <w:rFonts w:ascii="Courier New" w:hAnsi="Courier New" w:cs="Courier New"/>
    </w:rPr>
  </w:style>
  <w:style w:type="paragraph" w:styleId="afb">
    <w:name w:val="List Paragraph"/>
    <w:aliases w:val="Абзац списка основной,ПАРАГРАФ,Абзац списка11"/>
    <w:basedOn w:val="a"/>
    <w:link w:val="afc"/>
    <w:uiPriority w:val="34"/>
    <w:qFormat/>
    <w:rsid w:val="00826C7D"/>
    <w:pPr>
      <w:ind w:left="720"/>
    </w:pPr>
  </w:style>
  <w:style w:type="paragraph" w:customStyle="1" w:styleId="320">
    <w:name w:val="Основной текст с отступом 32"/>
    <w:basedOn w:val="a"/>
    <w:uiPriority w:val="99"/>
    <w:rsid w:val="00826C7D"/>
    <w:pPr>
      <w:tabs>
        <w:tab w:val="left" w:pos="9639"/>
      </w:tabs>
      <w:spacing w:line="360" w:lineRule="auto"/>
      <w:ind w:firstLine="720"/>
    </w:pPr>
    <w:rPr>
      <w:sz w:val="28"/>
    </w:rPr>
  </w:style>
  <w:style w:type="paragraph" w:customStyle="1" w:styleId="note">
    <w:name w:val="note"/>
    <w:basedOn w:val="a"/>
    <w:uiPriority w:val="99"/>
    <w:rsid w:val="00826C7D"/>
    <w:pPr>
      <w:spacing w:before="280" w:after="280"/>
    </w:pPr>
    <w:rPr>
      <w:szCs w:val="24"/>
    </w:rPr>
  </w:style>
  <w:style w:type="paragraph" w:styleId="afd">
    <w:name w:val="footer"/>
    <w:basedOn w:val="a"/>
    <w:link w:val="1f1"/>
    <w:uiPriority w:val="99"/>
    <w:rsid w:val="00826C7D"/>
    <w:pPr>
      <w:tabs>
        <w:tab w:val="center" w:pos="4677"/>
        <w:tab w:val="right" w:pos="9355"/>
      </w:tabs>
    </w:pPr>
  </w:style>
  <w:style w:type="character" w:customStyle="1" w:styleId="1f1">
    <w:name w:val="Нижний колонтитул Знак1"/>
    <w:basedOn w:val="a0"/>
    <w:link w:val="afd"/>
    <w:uiPriority w:val="99"/>
    <w:semiHidden/>
    <w:locked/>
    <w:rsid w:val="00284999"/>
    <w:rPr>
      <w:rFonts w:cs="Times New Roman"/>
      <w:sz w:val="20"/>
      <w:szCs w:val="20"/>
      <w:lang w:eastAsia="zh-CN"/>
    </w:rPr>
  </w:style>
  <w:style w:type="paragraph" w:styleId="afe">
    <w:name w:val="endnote text"/>
    <w:basedOn w:val="a"/>
    <w:link w:val="1f2"/>
    <w:uiPriority w:val="99"/>
    <w:rsid w:val="00826C7D"/>
  </w:style>
  <w:style w:type="character" w:customStyle="1" w:styleId="1f2">
    <w:name w:val="Текст концевой сноски Знак1"/>
    <w:basedOn w:val="a0"/>
    <w:link w:val="afe"/>
    <w:uiPriority w:val="99"/>
    <w:semiHidden/>
    <w:locked/>
    <w:rsid w:val="00284999"/>
    <w:rPr>
      <w:rFonts w:cs="Times New Roman"/>
      <w:sz w:val="20"/>
      <w:szCs w:val="20"/>
      <w:lang w:eastAsia="zh-CN"/>
    </w:rPr>
  </w:style>
  <w:style w:type="paragraph" w:styleId="aff">
    <w:name w:val="footnote text"/>
    <w:basedOn w:val="a"/>
    <w:link w:val="1f3"/>
    <w:uiPriority w:val="99"/>
    <w:rsid w:val="00826C7D"/>
  </w:style>
  <w:style w:type="character" w:customStyle="1" w:styleId="1f3">
    <w:name w:val="Текст сноски Знак1"/>
    <w:basedOn w:val="a0"/>
    <w:link w:val="aff"/>
    <w:uiPriority w:val="99"/>
    <w:locked/>
    <w:rsid w:val="00284999"/>
    <w:rPr>
      <w:rFonts w:cs="Times New Roman"/>
      <w:sz w:val="20"/>
      <w:szCs w:val="20"/>
      <w:lang w:eastAsia="zh-CN"/>
    </w:rPr>
  </w:style>
  <w:style w:type="paragraph" w:customStyle="1" w:styleId="221">
    <w:name w:val="Основной текст 22"/>
    <w:basedOn w:val="a"/>
    <w:uiPriority w:val="99"/>
    <w:rsid w:val="00826C7D"/>
    <w:pPr>
      <w:spacing w:after="120" w:line="480" w:lineRule="auto"/>
    </w:pPr>
  </w:style>
  <w:style w:type="paragraph" w:customStyle="1" w:styleId="aff0">
    <w:name w:val="Последний абзац"/>
    <w:basedOn w:val="221"/>
    <w:link w:val="aff1"/>
    <w:uiPriority w:val="99"/>
    <w:qFormat/>
    <w:rsid w:val="00826C7D"/>
    <w:pPr>
      <w:widowControl w:val="0"/>
      <w:spacing w:after="0" w:line="360" w:lineRule="auto"/>
    </w:pPr>
    <w:rPr>
      <w:sz w:val="28"/>
      <w:szCs w:val="22"/>
    </w:rPr>
  </w:style>
  <w:style w:type="paragraph" w:customStyle="1" w:styleId="112">
    <w:name w:val="Обычный11"/>
    <w:uiPriority w:val="99"/>
    <w:rsid w:val="00826C7D"/>
    <w:pPr>
      <w:widowControl w:val="0"/>
      <w:suppressAutoHyphens/>
      <w:snapToGrid w:val="0"/>
      <w:spacing w:line="300" w:lineRule="auto"/>
      <w:ind w:firstLine="720"/>
      <w:jc w:val="both"/>
    </w:pPr>
    <w:rPr>
      <w:rFonts w:ascii="Calibri" w:hAnsi="Calibri" w:cs="Calibri"/>
      <w:lang w:eastAsia="zh-CN"/>
    </w:rPr>
  </w:style>
  <w:style w:type="paragraph" w:customStyle="1" w:styleId="52">
    <w:name w:val="Знак5 Знак Знак Знак"/>
    <w:basedOn w:val="a"/>
    <w:uiPriority w:val="99"/>
    <w:rsid w:val="00826C7D"/>
    <w:pPr>
      <w:spacing w:after="160" w:line="240" w:lineRule="exact"/>
    </w:pPr>
    <w:rPr>
      <w:rFonts w:ascii="Verdana" w:hAnsi="Verdana" w:cs="Verdana"/>
      <w:lang w:val="en-US"/>
    </w:rPr>
  </w:style>
  <w:style w:type="paragraph" w:customStyle="1" w:styleId="BodyTextIndent31">
    <w:name w:val="Body Text Indent 31"/>
    <w:basedOn w:val="a"/>
    <w:uiPriority w:val="99"/>
    <w:rsid w:val="00826C7D"/>
    <w:pPr>
      <w:spacing w:line="360" w:lineRule="auto"/>
    </w:pPr>
    <w:rPr>
      <w:sz w:val="28"/>
    </w:rPr>
  </w:style>
  <w:style w:type="paragraph" w:customStyle="1" w:styleId="1f4">
    <w:name w:val="Знак1"/>
    <w:basedOn w:val="a"/>
    <w:uiPriority w:val="99"/>
    <w:rsid w:val="00826C7D"/>
    <w:rPr>
      <w:rFonts w:ascii="Verdana" w:hAnsi="Verdana" w:cs="Verdana"/>
      <w:lang w:val="en-US"/>
    </w:rPr>
  </w:style>
  <w:style w:type="paragraph" w:customStyle="1" w:styleId="1f5">
    <w:name w:val="1"/>
    <w:basedOn w:val="a"/>
    <w:uiPriority w:val="99"/>
    <w:rsid w:val="00826C7D"/>
    <w:pPr>
      <w:spacing w:after="160" w:line="240" w:lineRule="exact"/>
    </w:pPr>
  </w:style>
  <w:style w:type="paragraph" w:customStyle="1" w:styleId="atlp">
    <w:name w:val="atl_p"/>
    <w:basedOn w:val="a"/>
    <w:rsid w:val="00826C7D"/>
    <w:pPr>
      <w:spacing w:before="280" w:after="280"/>
    </w:pPr>
    <w:rPr>
      <w:szCs w:val="24"/>
    </w:rPr>
  </w:style>
  <w:style w:type="paragraph" w:customStyle="1" w:styleId="ConsPlusTitle">
    <w:name w:val="ConsPlusTitle"/>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uiPriority w:val="99"/>
    <w:rsid w:val="00826C7D"/>
    <w:pPr>
      <w:spacing w:before="280" w:after="280"/>
    </w:pPr>
    <w:rPr>
      <w:szCs w:val="24"/>
    </w:rPr>
  </w:style>
  <w:style w:type="paragraph" w:customStyle="1" w:styleId="a00">
    <w:name w:val="a0"/>
    <w:basedOn w:val="a"/>
    <w:uiPriority w:val="99"/>
    <w:rsid w:val="00826C7D"/>
    <w:pPr>
      <w:spacing w:before="280" w:after="280"/>
    </w:pPr>
    <w:rPr>
      <w:szCs w:val="24"/>
    </w:rPr>
  </w:style>
  <w:style w:type="paragraph" w:customStyle="1" w:styleId="aff2">
    <w:name w:val="Содержимое таблицы"/>
    <w:basedOn w:val="a"/>
    <w:uiPriority w:val="99"/>
    <w:rsid w:val="00826C7D"/>
    <w:pPr>
      <w:suppressLineNumbers/>
    </w:pPr>
  </w:style>
  <w:style w:type="paragraph" w:customStyle="1" w:styleId="aff3">
    <w:name w:val="Заголовок таблицы"/>
    <w:basedOn w:val="aff2"/>
    <w:uiPriority w:val="99"/>
    <w:rsid w:val="00826C7D"/>
    <w:pPr>
      <w:jc w:val="center"/>
    </w:pPr>
    <w:rPr>
      <w:b/>
      <w:bCs/>
    </w:rPr>
  </w:style>
  <w:style w:type="paragraph" w:customStyle="1" w:styleId="aff4">
    <w:name w:val="Содержимое врезки"/>
    <w:basedOn w:val="af0"/>
    <w:uiPriority w:val="99"/>
    <w:rsid w:val="00826C7D"/>
  </w:style>
  <w:style w:type="paragraph" w:customStyle="1" w:styleId="230">
    <w:name w:val="Основной текст с отступом 23"/>
    <w:basedOn w:val="a"/>
    <w:uiPriority w:val="99"/>
    <w:rsid w:val="00826C7D"/>
    <w:pPr>
      <w:spacing w:after="120" w:line="480" w:lineRule="auto"/>
      <w:ind w:left="283"/>
    </w:pPr>
  </w:style>
  <w:style w:type="paragraph" w:customStyle="1" w:styleId="321">
    <w:name w:val="Основной текст с отступом 321"/>
    <w:basedOn w:val="a"/>
    <w:uiPriority w:val="99"/>
    <w:rsid w:val="00826C7D"/>
    <w:pPr>
      <w:spacing w:after="120"/>
      <w:ind w:left="283"/>
    </w:pPr>
    <w:rPr>
      <w:sz w:val="16"/>
      <w:szCs w:val="16"/>
    </w:rPr>
  </w:style>
  <w:style w:type="paragraph" w:customStyle="1" w:styleId="240">
    <w:name w:val="Основной текст с отступом 24"/>
    <w:basedOn w:val="a"/>
    <w:uiPriority w:val="99"/>
    <w:rsid w:val="00826C7D"/>
    <w:pPr>
      <w:spacing w:after="120" w:line="480" w:lineRule="auto"/>
      <w:ind w:left="283"/>
    </w:pPr>
  </w:style>
  <w:style w:type="paragraph" w:customStyle="1" w:styleId="250">
    <w:name w:val="Основной текст с отступом 25"/>
    <w:basedOn w:val="a"/>
    <w:uiPriority w:val="99"/>
    <w:rsid w:val="00826C7D"/>
    <w:pPr>
      <w:spacing w:after="120" w:line="480" w:lineRule="auto"/>
      <w:ind w:left="283"/>
    </w:pPr>
  </w:style>
  <w:style w:type="paragraph" w:customStyle="1" w:styleId="231">
    <w:name w:val="Основной текст 23"/>
    <w:basedOn w:val="a"/>
    <w:uiPriority w:val="99"/>
    <w:rsid w:val="00826C7D"/>
    <w:pPr>
      <w:suppressAutoHyphens w:val="0"/>
      <w:spacing w:after="120" w:line="480" w:lineRule="auto"/>
    </w:pPr>
  </w:style>
  <w:style w:type="paragraph" w:customStyle="1" w:styleId="260">
    <w:name w:val="Основной текст с отступом 26"/>
    <w:basedOn w:val="a"/>
    <w:uiPriority w:val="99"/>
    <w:rsid w:val="00826C7D"/>
    <w:pPr>
      <w:spacing w:after="120" w:line="480" w:lineRule="auto"/>
      <w:ind w:left="283"/>
    </w:pPr>
  </w:style>
  <w:style w:type="paragraph" w:customStyle="1" w:styleId="Standard">
    <w:name w:val="Standard"/>
    <w:uiPriority w:val="99"/>
    <w:rsid w:val="000C7967"/>
    <w:pPr>
      <w:widowControl w:val="0"/>
      <w:suppressAutoHyphens/>
      <w:autoSpaceDN w:val="0"/>
      <w:textAlignment w:val="baseline"/>
    </w:pPr>
    <w:rPr>
      <w:rFonts w:cs="Tahoma"/>
      <w:kern w:val="3"/>
      <w:sz w:val="24"/>
      <w:szCs w:val="24"/>
      <w:lang w:val="de-DE" w:eastAsia="ja-JP" w:bidi="fa-IR"/>
    </w:rPr>
  </w:style>
  <w:style w:type="paragraph" w:styleId="27">
    <w:name w:val="Body Text Indent 2"/>
    <w:basedOn w:val="a"/>
    <w:link w:val="28"/>
    <w:uiPriority w:val="99"/>
    <w:semiHidden/>
    <w:rsid w:val="000E7694"/>
    <w:pPr>
      <w:spacing w:after="120" w:line="480" w:lineRule="auto"/>
      <w:ind w:left="283"/>
    </w:pPr>
  </w:style>
  <w:style w:type="character" w:customStyle="1" w:styleId="28">
    <w:name w:val="Основной текст с отступом 2 Знак"/>
    <w:basedOn w:val="a0"/>
    <w:link w:val="27"/>
    <w:uiPriority w:val="99"/>
    <w:locked/>
    <w:rsid w:val="00284999"/>
    <w:rPr>
      <w:rFonts w:cs="Times New Roman"/>
      <w:sz w:val="20"/>
      <w:szCs w:val="20"/>
      <w:lang w:eastAsia="zh-CN"/>
    </w:rPr>
  </w:style>
  <w:style w:type="character" w:customStyle="1" w:styleId="222">
    <w:name w:val="Основной текст с отступом 2 Знак2"/>
    <w:uiPriority w:val="99"/>
    <w:semiHidden/>
    <w:rsid w:val="000E7694"/>
    <w:rPr>
      <w:lang w:eastAsia="zh-CN"/>
    </w:rPr>
  </w:style>
  <w:style w:type="paragraph" w:styleId="36">
    <w:name w:val="Body Text Indent 3"/>
    <w:basedOn w:val="a"/>
    <w:link w:val="37"/>
    <w:uiPriority w:val="99"/>
    <w:semiHidden/>
    <w:rsid w:val="000E7694"/>
    <w:pPr>
      <w:spacing w:after="120"/>
      <w:ind w:left="283"/>
    </w:pPr>
  </w:style>
  <w:style w:type="character" w:customStyle="1" w:styleId="37">
    <w:name w:val="Основной текст с отступом 3 Знак"/>
    <w:basedOn w:val="a0"/>
    <w:link w:val="36"/>
    <w:uiPriority w:val="99"/>
    <w:semiHidden/>
    <w:locked/>
    <w:rsid w:val="00284999"/>
    <w:rPr>
      <w:rFonts w:cs="Times New Roman"/>
      <w:sz w:val="16"/>
      <w:szCs w:val="16"/>
      <w:lang w:eastAsia="zh-CN"/>
    </w:rPr>
  </w:style>
  <w:style w:type="character" w:customStyle="1" w:styleId="311">
    <w:name w:val="Основной текст с отступом 3 Знак1"/>
    <w:uiPriority w:val="99"/>
    <w:semiHidden/>
    <w:rsid w:val="000E7694"/>
    <w:rPr>
      <w:sz w:val="16"/>
      <w:lang w:eastAsia="zh-CN"/>
    </w:rPr>
  </w:style>
  <w:style w:type="paragraph" w:styleId="aff5">
    <w:name w:val="Title"/>
    <w:basedOn w:val="a"/>
    <w:link w:val="aff6"/>
    <w:qFormat/>
    <w:rsid w:val="000E7694"/>
    <w:pPr>
      <w:suppressAutoHyphens w:val="0"/>
      <w:jc w:val="center"/>
    </w:pPr>
    <w:rPr>
      <w:b/>
    </w:rPr>
  </w:style>
  <w:style w:type="character" w:customStyle="1" w:styleId="aff6">
    <w:name w:val="Название Знак"/>
    <w:basedOn w:val="a0"/>
    <w:link w:val="aff5"/>
    <w:locked/>
    <w:rsid w:val="00284999"/>
    <w:rPr>
      <w:rFonts w:ascii="Cambria" w:hAnsi="Cambria" w:cs="Times New Roman"/>
      <w:b/>
      <w:bCs/>
      <w:kern w:val="28"/>
      <w:sz w:val="32"/>
      <w:szCs w:val="32"/>
      <w:lang w:eastAsia="zh-CN"/>
    </w:rPr>
  </w:style>
  <w:style w:type="character" w:customStyle="1" w:styleId="29">
    <w:name w:val="Название Знак2"/>
    <w:uiPriority w:val="99"/>
    <w:rsid w:val="000E7694"/>
    <w:rPr>
      <w:rFonts w:ascii="Cambria" w:hAnsi="Cambria"/>
      <w:b/>
      <w:kern w:val="28"/>
      <w:sz w:val="32"/>
      <w:lang w:eastAsia="zh-CN"/>
    </w:rPr>
  </w:style>
  <w:style w:type="paragraph" w:styleId="2a">
    <w:name w:val="Body Text 2"/>
    <w:basedOn w:val="a"/>
    <w:link w:val="213"/>
    <w:uiPriority w:val="99"/>
    <w:rsid w:val="00453026"/>
    <w:pPr>
      <w:spacing w:after="120" w:line="480" w:lineRule="auto"/>
    </w:pPr>
  </w:style>
  <w:style w:type="character" w:customStyle="1" w:styleId="213">
    <w:name w:val="Основной текст 2 Знак1"/>
    <w:basedOn w:val="a0"/>
    <w:link w:val="2a"/>
    <w:uiPriority w:val="99"/>
    <w:locked/>
    <w:rsid w:val="00453026"/>
    <w:rPr>
      <w:rFonts w:cs="Times New Roman"/>
      <w:lang w:eastAsia="zh-CN"/>
    </w:rPr>
  </w:style>
  <w:style w:type="paragraph" w:customStyle="1" w:styleId="Textbodyindent">
    <w:name w:val="Text body indent"/>
    <w:basedOn w:val="Standard"/>
    <w:uiPriority w:val="99"/>
    <w:rsid w:val="00453026"/>
    <w:pPr>
      <w:widowControl/>
      <w:spacing w:after="120" w:line="276" w:lineRule="auto"/>
      <w:ind w:left="283"/>
    </w:pPr>
    <w:rPr>
      <w:rFonts w:ascii="Calibri" w:hAnsi="Calibri" w:cs="Calibri"/>
      <w:sz w:val="22"/>
      <w:szCs w:val="22"/>
      <w:lang w:val="ru-RU" w:eastAsia="zh-CN" w:bidi="ar-SA"/>
    </w:rPr>
  </w:style>
  <w:style w:type="character" w:customStyle="1" w:styleId="FontStyle11">
    <w:name w:val="Font Style11"/>
    <w:uiPriority w:val="99"/>
    <w:rsid w:val="004F5F5B"/>
    <w:rPr>
      <w:rFonts w:ascii="Times New Roman" w:hAnsi="Times New Roman"/>
      <w:sz w:val="26"/>
    </w:rPr>
  </w:style>
  <w:style w:type="character" w:styleId="aff7">
    <w:name w:val="Hyperlink"/>
    <w:basedOn w:val="a0"/>
    <w:uiPriority w:val="99"/>
    <w:rsid w:val="002A65CC"/>
    <w:rPr>
      <w:rFonts w:cs="Times New Roman"/>
      <w:color w:val="0000FF"/>
      <w:u w:val="single"/>
    </w:rPr>
  </w:style>
  <w:style w:type="paragraph" w:styleId="aff8">
    <w:name w:val="Block Text"/>
    <w:basedOn w:val="a"/>
    <w:rsid w:val="00430614"/>
    <w:pPr>
      <w:widowControl w:val="0"/>
      <w:suppressAutoHyphens w:val="0"/>
      <w:spacing w:before="120" w:line="320" w:lineRule="exact"/>
      <w:ind w:left="1540" w:right="1500"/>
      <w:jc w:val="center"/>
    </w:pPr>
    <w:rPr>
      <w:sz w:val="28"/>
      <w:lang w:eastAsia="ru-RU"/>
    </w:rPr>
  </w:style>
  <w:style w:type="paragraph" w:styleId="aff9">
    <w:name w:val="Balloon Text"/>
    <w:basedOn w:val="a"/>
    <w:link w:val="affa"/>
    <w:uiPriority w:val="99"/>
    <w:semiHidden/>
    <w:rsid w:val="001A587D"/>
    <w:rPr>
      <w:rFonts w:ascii="Segoe UI" w:hAnsi="Segoe UI"/>
      <w:sz w:val="18"/>
      <w:szCs w:val="18"/>
    </w:rPr>
  </w:style>
  <w:style w:type="character" w:customStyle="1" w:styleId="affa">
    <w:name w:val="Текст выноски Знак"/>
    <w:basedOn w:val="a0"/>
    <w:link w:val="aff9"/>
    <w:uiPriority w:val="99"/>
    <w:semiHidden/>
    <w:locked/>
    <w:rsid w:val="001A587D"/>
    <w:rPr>
      <w:rFonts w:ascii="Segoe UI" w:hAnsi="Segoe UI" w:cs="Times New Roman"/>
      <w:sz w:val="18"/>
      <w:lang w:eastAsia="zh-CN"/>
    </w:rPr>
  </w:style>
  <w:style w:type="character" w:customStyle="1" w:styleId="aff1">
    <w:name w:val="Последний абзац Знак"/>
    <w:basedOn w:val="a0"/>
    <w:link w:val="aff0"/>
    <w:uiPriority w:val="99"/>
    <w:qFormat/>
    <w:locked/>
    <w:rsid w:val="0093504D"/>
    <w:rPr>
      <w:rFonts w:eastAsia="Times New Roman" w:cs="Times New Roman"/>
      <w:sz w:val="22"/>
      <w:szCs w:val="22"/>
      <w:lang w:eastAsia="zh-CN"/>
    </w:rPr>
  </w:style>
  <w:style w:type="character" w:customStyle="1" w:styleId="1e">
    <w:name w:val="Без интервала Знак1"/>
    <w:basedOn w:val="a0"/>
    <w:link w:val="af8"/>
    <w:uiPriority w:val="99"/>
    <w:locked/>
    <w:rsid w:val="00345BF3"/>
    <w:rPr>
      <w:rFonts w:ascii="Calibri" w:hAnsi="Calibri" w:cs="Calibri"/>
      <w:sz w:val="22"/>
      <w:szCs w:val="22"/>
      <w:lang w:val="ru-RU" w:eastAsia="zh-CN" w:bidi="ar-SA"/>
    </w:rPr>
  </w:style>
  <w:style w:type="paragraph" w:customStyle="1" w:styleId="2b">
    <w:name w:val="Без интервала2"/>
    <w:uiPriority w:val="99"/>
    <w:rsid w:val="00345BF3"/>
    <w:pPr>
      <w:suppressAutoHyphens/>
    </w:pPr>
    <w:rPr>
      <w:rFonts w:ascii="Calibri" w:hAnsi="Calibri" w:cs="Calibri"/>
      <w:lang w:eastAsia="ar-SA"/>
    </w:rPr>
  </w:style>
  <w:style w:type="paragraph" w:customStyle="1" w:styleId="Default">
    <w:name w:val="Default"/>
    <w:rsid w:val="00345BF3"/>
    <w:pPr>
      <w:autoSpaceDE w:val="0"/>
      <w:autoSpaceDN w:val="0"/>
      <w:adjustRightInd w:val="0"/>
    </w:pPr>
    <w:rPr>
      <w:color w:val="000000"/>
      <w:sz w:val="24"/>
      <w:szCs w:val="24"/>
    </w:rPr>
  </w:style>
  <w:style w:type="paragraph" w:customStyle="1" w:styleId="38">
    <w:name w:val="Без интервала3"/>
    <w:link w:val="NoSpacingChar"/>
    <w:uiPriority w:val="99"/>
    <w:rsid w:val="00C16FFD"/>
    <w:pPr>
      <w:suppressAutoHyphens/>
    </w:pPr>
    <w:rPr>
      <w:rFonts w:ascii="Calibri" w:hAnsi="Calibri" w:cs="Calibri"/>
      <w:lang w:eastAsia="zh-CN"/>
    </w:rPr>
  </w:style>
  <w:style w:type="character" w:customStyle="1" w:styleId="NoSpacingChar">
    <w:name w:val="No Spacing Char"/>
    <w:basedOn w:val="a0"/>
    <w:link w:val="38"/>
    <w:uiPriority w:val="99"/>
    <w:locked/>
    <w:rsid w:val="00C16FFD"/>
    <w:rPr>
      <w:rFonts w:ascii="Calibri" w:hAnsi="Calibri" w:cs="Calibri"/>
      <w:sz w:val="22"/>
      <w:szCs w:val="22"/>
      <w:lang w:val="ru-RU" w:eastAsia="zh-CN" w:bidi="ar-SA"/>
    </w:rPr>
  </w:style>
  <w:style w:type="character" w:customStyle="1" w:styleId="afc">
    <w:name w:val="Абзац списка Знак"/>
    <w:aliases w:val="Абзац списка основной Знак,ПАРАГРАФ Знак,Абзац списка11 Знак"/>
    <w:link w:val="afb"/>
    <w:uiPriority w:val="34"/>
    <w:locked/>
    <w:rsid w:val="00F6055C"/>
    <w:rPr>
      <w:sz w:val="24"/>
      <w:lang w:eastAsia="zh-CN"/>
    </w:rPr>
  </w:style>
  <w:style w:type="character" w:styleId="affb">
    <w:name w:val="footnote reference"/>
    <w:basedOn w:val="a0"/>
    <w:uiPriority w:val="99"/>
    <w:semiHidden/>
    <w:locked/>
    <w:rsid w:val="00CC71EF"/>
    <w:rPr>
      <w:rFonts w:cs="Times New Roman"/>
      <w:vertAlign w:val="superscript"/>
    </w:rPr>
  </w:style>
  <w:style w:type="character" w:customStyle="1" w:styleId="apple-style-span">
    <w:name w:val="apple-style-span"/>
    <w:uiPriority w:val="99"/>
    <w:rsid w:val="00E64BF7"/>
  </w:style>
  <w:style w:type="character" w:styleId="affc">
    <w:name w:val="Emphasis"/>
    <w:basedOn w:val="a0"/>
    <w:uiPriority w:val="20"/>
    <w:qFormat/>
    <w:rsid w:val="008A331D"/>
    <w:rPr>
      <w:rFonts w:cs="Times New Roman"/>
      <w:i/>
      <w:iCs/>
    </w:rPr>
  </w:style>
  <w:style w:type="paragraph" w:customStyle="1" w:styleId="1f6">
    <w:name w:val="Абзац списка1"/>
    <w:basedOn w:val="a"/>
    <w:rsid w:val="00A65FD4"/>
    <w:pPr>
      <w:spacing w:after="200" w:line="276" w:lineRule="auto"/>
      <w:ind w:left="720"/>
    </w:pPr>
    <w:rPr>
      <w:rFonts w:eastAsia="Calibri"/>
      <w:sz w:val="28"/>
      <w:lang w:val="en-US"/>
    </w:rPr>
  </w:style>
  <w:style w:type="paragraph" w:customStyle="1" w:styleId="46">
    <w:name w:val="Без интервала4"/>
    <w:rsid w:val="00CF18D0"/>
    <w:rPr>
      <w:rFonts w:ascii="Calibri" w:hAnsi="Calibri"/>
    </w:rPr>
  </w:style>
  <w:style w:type="paragraph" w:customStyle="1" w:styleId="53">
    <w:name w:val="Без интервала5"/>
    <w:rsid w:val="00CF18D0"/>
    <w:rPr>
      <w:rFonts w:ascii="Calibri" w:hAnsi="Calibri"/>
    </w:rPr>
  </w:style>
  <w:style w:type="paragraph" w:customStyle="1" w:styleId="62">
    <w:name w:val="Без интервала6"/>
    <w:rsid w:val="00CF18D0"/>
    <w:rPr>
      <w:rFonts w:ascii="Calibri" w:hAnsi="Calibri"/>
    </w:rPr>
  </w:style>
  <w:style w:type="paragraph" w:customStyle="1" w:styleId="75">
    <w:name w:val="Без интервала7"/>
    <w:rsid w:val="000A2FDD"/>
    <w:rPr>
      <w:rFonts w:ascii="Calibri" w:hAnsi="Calibri"/>
    </w:rPr>
  </w:style>
  <w:style w:type="character" w:customStyle="1" w:styleId="1f7">
    <w:name w:val="Неразрешенное упоминание1"/>
    <w:basedOn w:val="a0"/>
    <w:uiPriority w:val="99"/>
    <w:semiHidden/>
    <w:unhideWhenUsed/>
    <w:rsid w:val="00E35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0886">
      <w:bodyDiv w:val="1"/>
      <w:marLeft w:val="0"/>
      <w:marRight w:val="0"/>
      <w:marTop w:val="0"/>
      <w:marBottom w:val="0"/>
      <w:divBdr>
        <w:top w:val="none" w:sz="0" w:space="0" w:color="auto"/>
        <w:left w:val="none" w:sz="0" w:space="0" w:color="auto"/>
        <w:bottom w:val="none" w:sz="0" w:space="0" w:color="auto"/>
        <w:right w:val="none" w:sz="0" w:space="0" w:color="auto"/>
      </w:divBdr>
    </w:div>
    <w:div w:id="261037261">
      <w:bodyDiv w:val="1"/>
      <w:marLeft w:val="0"/>
      <w:marRight w:val="0"/>
      <w:marTop w:val="0"/>
      <w:marBottom w:val="0"/>
      <w:divBdr>
        <w:top w:val="none" w:sz="0" w:space="0" w:color="auto"/>
        <w:left w:val="none" w:sz="0" w:space="0" w:color="auto"/>
        <w:bottom w:val="none" w:sz="0" w:space="0" w:color="auto"/>
        <w:right w:val="none" w:sz="0" w:space="0" w:color="auto"/>
      </w:divBdr>
    </w:div>
    <w:div w:id="286743069">
      <w:bodyDiv w:val="1"/>
      <w:marLeft w:val="0"/>
      <w:marRight w:val="0"/>
      <w:marTop w:val="0"/>
      <w:marBottom w:val="0"/>
      <w:divBdr>
        <w:top w:val="none" w:sz="0" w:space="0" w:color="auto"/>
        <w:left w:val="none" w:sz="0" w:space="0" w:color="auto"/>
        <w:bottom w:val="none" w:sz="0" w:space="0" w:color="auto"/>
        <w:right w:val="none" w:sz="0" w:space="0" w:color="auto"/>
      </w:divBdr>
    </w:div>
    <w:div w:id="387652651">
      <w:bodyDiv w:val="1"/>
      <w:marLeft w:val="0"/>
      <w:marRight w:val="0"/>
      <w:marTop w:val="0"/>
      <w:marBottom w:val="0"/>
      <w:divBdr>
        <w:top w:val="none" w:sz="0" w:space="0" w:color="auto"/>
        <w:left w:val="none" w:sz="0" w:space="0" w:color="auto"/>
        <w:bottom w:val="none" w:sz="0" w:space="0" w:color="auto"/>
        <w:right w:val="none" w:sz="0" w:space="0" w:color="auto"/>
      </w:divBdr>
    </w:div>
    <w:div w:id="707805418">
      <w:bodyDiv w:val="1"/>
      <w:marLeft w:val="0"/>
      <w:marRight w:val="0"/>
      <w:marTop w:val="0"/>
      <w:marBottom w:val="0"/>
      <w:divBdr>
        <w:top w:val="none" w:sz="0" w:space="0" w:color="auto"/>
        <w:left w:val="none" w:sz="0" w:space="0" w:color="auto"/>
        <w:bottom w:val="none" w:sz="0" w:space="0" w:color="auto"/>
        <w:right w:val="none" w:sz="0" w:space="0" w:color="auto"/>
      </w:divBdr>
    </w:div>
    <w:div w:id="716441263">
      <w:bodyDiv w:val="1"/>
      <w:marLeft w:val="0"/>
      <w:marRight w:val="0"/>
      <w:marTop w:val="0"/>
      <w:marBottom w:val="0"/>
      <w:divBdr>
        <w:top w:val="none" w:sz="0" w:space="0" w:color="auto"/>
        <w:left w:val="none" w:sz="0" w:space="0" w:color="auto"/>
        <w:bottom w:val="none" w:sz="0" w:space="0" w:color="auto"/>
        <w:right w:val="none" w:sz="0" w:space="0" w:color="auto"/>
      </w:divBdr>
    </w:div>
    <w:div w:id="746998736">
      <w:marLeft w:val="0"/>
      <w:marRight w:val="0"/>
      <w:marTop w:val="0"/>
      <w:marBottom w:val="0"/>
      <w:divBdr>
        <w:top w:val="none" w:sz="0" w:space="0" w:color="auto"/>
        <w:left w:val="none" w:sz="0" w:space="0" w:color="auto"/>
        <w:bottom w:val="none" w:sz="0" w:space="0" w:color="auto"/>
        <w:right w:val="none" w:sz="0" w:space="0" w:color="auto"/>
      </w:divBdr>
    </w:div>
    <w:div w:id="746998737">
      <w:marLeft w:val="0"/>
      <w:marRight w:val="0"/>
      <w:marTop w:val="0"/>
      <w:marBottom w:val="0"/>
      <w:divBdr>
        <w:top w:val="none" w:sz="0" w:space="0" w:color="auto"/>
        <w:left w:val="none" w:sz="0" w:space="0" w:color="auto"/>
        <w:bottom w:val="none" w:sz="0" w:space="0" w:color="auto"/>
        <w:right w:val="none" w:sz="0" w:space="0" w:color="auto"/>
      </w:divBdr>
    </w:div>
    <w:div w:id="746998738">
      <w:marLeft w:val="0"/>
      <w:marRight w:val="0"/>
      <w:marTop w:val="0"/>
      <w:marBottom w:val="0"/>
      <w:divBdr>
        <w:top w:val="none" w:sz="0" w:space="0" w:color="auto"/>
        <w:left w:val="none" w:sz="0" w:space="0" w:color="auto"/>
        <w:bottom w:val="none" w:sz="0" w:space="0" w:color="auto"/>
        <w:right w:val="none" w:sz="0" w:space="0" w:color="auto"/>
      </w:divBdr>
    </w:div>
    <w:div w:id="746998739">
      <w:marLeft w:val="0"/>
      <w:marRight w:val="0"/>
      <w:marTop w:val="0"/>
      <w:marBottom w:val="0"/>
      <w:divBdr>
        <w:top w:val="none" w:sz="0" w:space="0" w:color="auto"/>
        <w:left w:val="none" w:sz="0" w:space="0" w:color="auto"/>
        <w:bottom w:val="none" w:sz="0" w:space="0" w:color="auto"/>
        <w:right w:val="none" w:sz="0" w:space="0" w:color="auto"/>
      </w:divBdr>
    </w:div>
    <w:div w:id="746998740">
      <w:marLeft w:val="0"/>
      <w:marRight w:val="0"/>
      <w:marTop w:val="0"/>
      <w:marBottom w:val="0"/>
      <w:divBdr>
        <w:top w:val="none" w:sz="0" w:space="0" w:color="auto"/>
        <w:left w:val="none" w:sz="0" w:space="0" w:color="auto"/>
        <w:bottom w:val="none" w:sz="0" w:space="0" w:color="auto"/>
        <w:right w:val="none" w:sz="0" w:space="0" w:color="auto"/>
      </w:divBdr>
    </w:div>
    <w:div w:id="746998741">
      <w:marLeft w:val="0"/>
      <w:marRight w:val="0"/>
      <w:marTop w:val="0"/>
      <w:marBottom w:val="0"/>
      <w:divBdr>
        <w:top w:val="none" w:sz="0" w:space="0" w:color="auto"/>
        <w:left w:val="none" w:sz="0" w:space="0" w:color="auto"/>
        <w:bottom w:val="none" w:sz="0" w:space="0" w:color="auto"/>
        <w:right w:val="none" w:sz="0" w:space="0" w:color="auto"/>
      </w:divBdr>
    </w:div>
    <w:div w:id="829101937">
      <w:bodyDiv w:val="1"/>
      <w:marLeft w:val="0"/>
      <w:marRight w:val="0"/>
      <w:marTop w:val="0"/>
      <w:marBottom w:val="0"/>
      <w:divBdr>
        <w:top w:val="none" w:sz="0" w:space="0" w:color="auto"/>
        <w:left w:val="none" w:sz="0" w:space="0" w:color="auto"/>
        <w:bottom w:val="none" w:sz="0" w:space="0" w:color="auto"/>
        <w:right w:val="none" w:sz="0" w:space="0" w:color="auto"/>
      </w:divBdr>
    </w:div>
    <w:div w:id="852036781">
      <w:bodyDiv w:val="1"/>
      <w:marLeft w:val="0"/>
      <w:marRight w:val="0"/>
      <w:marTop w:val="0"/>
      <w:marBottom w:val="0"/>
      <w:divBdr>
        <w:top w:val="none" w:sz="0" w:space="0" w:color="auto"/>
        <w:left w:val="none" w:sz="0" w:space="0" w:color="auto"/>
        <w:bottom w:val="none" w:sz="0" w:space="0" w:color="auto"/>
        <w:right w:val="none" w:sz="0" w:space="0" w:color="auto"/>
      </w:divBdr>
    </w:div>
    <w:div w:id="972903138">
      <w:bodyDiv w:val="1"/>
      <w:marLeft w:val="0"/>
      <w:marRight w:val="0"/>
      <w:marTop w:val="0"/>
      <w:marBottom w:val="0"/>
      <w:divBdr>
        <w:top w:val="none" w:sz="0" w:space="0" w:color="auto"/>
        <w:left w:val="none" w:sz="0" w:space="0" w:color="auto"/>
        <w:bottom w:val="none" w:sz="0" w:space="0" w:color="auto"/>
        <w:right w:val="none" w:sz="0" w:space="0" w:color="auto"/>
      </w:divBdr>
    </w:div>
    <w:div w:id="1053700841">
      <w:bodyDiv w:val="1"/>
      <w:marLeft w:val="0"/>
      <w:marRight w:val="0"/>
      <w:marTop w:val="0"/>
      <w:marBottom w:val="0"/>
      <w:divBdr>
        <w:top w:val="none" w:sz="0" w:space="0" w:color="auto"/>
        <w:left w:val="none" w:sz="0" w:space="0" w:color="auto"/>
        <w:bottom w:val="none" w:sz="0" w:space="0" w:color="auto"/>
        <w:right w:val="none" w:sz="0" w:space="0" w:color="auto"/>
      </w:divBdr>
    </w:div>
    <w:div w:id="1065226848">
      <w:bodyDiv w:val="1"/>
      <w:marLeft w:val="0"/>
      <w:marRight w:val="0"/>
      <w:marTop w:val="0"/>
      <w:marBottom w:val="0"/>
      <w:divBdr>
        <w:top w:val="none" w:sz="0" w:space="0" w:color="auto"/>
        <w:left w:val="none" w:sz="0" w:space="0" w:color="auto"/>
        <w:bottom w:val="none" w:sz="0" w:space="0" w:color="auto"/>
        <w:right w:val="none" w:sz="0" w:space="0" w:color="auto"/>
      </w:divBdr>
    </w:div>
    <w:div w:id="1076393286">
      <w:bodyDiv w:val="1"/>
      <w:marLeft w:val="0"/>
      <w:marRight w:val="0"/>
      <w:marTop w:val="0"/>
      <w:marBottom w:val="0"/>
      <w:divBdr>
        <w:top w:val="none" w:sz="0" w:space="0" w:color="auto"/>
        <w:left w:val="none" w:sz="0" w:space="0" w:color="auto"/>
        <w:bottom w:val="none" w:sz="0" w:space="0" w:color="auto"/>
        <w:right w:val="none" w:sz="0" w:space="0" w:color="auto"/>
      </w:divBdr>
    </w:div>
    <w:div w:id="1103889279">
      <w:bodyDiv w:val="1"/>
      <w:marLeft w:val="0"/>
      <w:marRight w:val="0"/>
      <w:marTop w:val="0"/>
      <w:marBottom w:val="0"/>
      <w:divBdr>
        <w:top w:val="none" w:sz="0" w:space="0" w:color="auto"/>
        <w:left w:val="none" w:sz="0" w:space="0" w:color="auto"/>
        <w:bottom w:val="none" w:sz="0" w:space="0" w:color="auto"/>
        <w:right w:val="none" w:sz="0" w:space="0" w:color="auto"/>
      </w:divBdr>
    </w:div>
    <w:div w:id="1110276465">
      <w:bodyDiv w:val="1"/>
      <w:marLeft w:val="0"/>
      <w:marRight w:val="0"/>
      <w:marTop w:val="0"/>
      <w:marBottom w:val="0"/>
      <w:divBdr>
        <w:top w:val="none" w:sz="0" w:space="0" w:color="auto"/>
        <w:left w:val="none" w:sz="0" w:space="0" w:color="auto"/>
        <w:bottom w:val="none" w:sz="0" w:space="0" w:color="auto"/>
        <w:right w:val="none" w:sz="0" w:space="0" w:color="auto"/>
      </w:divBdr>
    </w:div>
    <w:div w:id="1233079683">
      <w:bodyDiv w:val="1"/>
      <w:marLeft w:val="0"/>
      <w:marRight w:val="0"/>
      <w:marTop w:val="0"/>
      <w:marBottom w:val="0"/>
      <w:divBdr>
        <w:top w:val="none" w:sz="0" w:space="0" w:color="auto"/>
        <w:left w:val="none" w:sz="0" w:space="0" w:color="auto"/>
        <w:bottom w:val="none" w:sz="0" w:space="0" w:color="auto"/>
        <w:right w:val="none" w:sz="0" w:space="0" w:color="auto"/>
      </w:divBdr>
    </w:div>
    <w:div w:id="1514608480">
      <w:bodyDiv w:val="1"/>
      <w:marLeft w:val="0"/>
      <w:marRight w:val="0"/>
      <w:marTop w:val="0"/>
      <w:marBottom w:val="0"/>
      <w:divBdr>
        <w:top w:val="none" w:sz="0" w:space="0" w:color="auto"/>
        <w:left w:val="none" w:sz="0" w:space="0" w:color="auto"/>
        <w:bottom w:val="none" w:sz="0" w:space="0" w:color="auto"/>
        <w:right w:val="none" w:sz="0" w:space="0" w:color="auto"/>
      </w:divBdr>
    </w:div>
    <w:div w:id="1528445182">
      <w:bodyDiv w:val="1"/>
      <w:marLeft w:val="0"/>
      <w:marRight w:val="0"/>
      <w:marTop w:val="0"/>
      <w:marBottom w:val="0"/>
      <w:divBdr>
        <w:top w:val="none" w:sz="0" w:space="0" w:color="auto"/>
        <w:left w:val="none" w:sz="0" w:space="0" w:color="auto"/>
        <w:bottom w:val="none" w:sz="0" w:space="0" w:color="auto"/>
        <w:right w:val="none" w:sz="0" w:space="0" w:color="auto"/>
      </w:divBdr>
    </w:div>
    <w:div w:id="1647081804">
      <w:bodyDiv w:val="1"/>
      <w:marLeft w:val="0"/>
      <w:marRight w:val="0"/>
      <w:marTop w:val="0"/>
      <w:marBottom w:val="0"/>
      <w:divBdr>
        <w:top w:val="none" w:sz="0" w:space="0" w:color="auto"/>
        <w:left w:val="none" w:sz="0" w:space="0" w:color="auto"/>
        <w:bottom w:val="none" w:sz="0" w:space="0" w:color="auto"/>
        <w:right w:val="none" w:sz="0" w:space="0" w:color="auto"/>
      </w:divBdr>
    </w:div>
    <w:div w:id="1670672606">
      <w:bodyDiv w:val="1"/>
      <w:marLeft w:val="0"/>
      <w:marRight w:val="0"/>
      <w:marTop w:val="0"/>
      <w:marBottom w:val="0"/>
      <w:divBdr>
        <w:top w:val="none" w:sz="0" w:space="0" w:color="auto"/>
        <w:left w:val="none" w:sz="0" w:space="0" w:color="auto"/>
        <w:bottom w:val="none" w:sz="0" w:space="0" w:color="auto"/>
        <w:right w:val="none" w:sz="0" w:space="0" w:color="auto"/>
      </w:divBdr>
    </w:div>
    <w:div w:id="1841969535">
      <w:bodyDiv w:val="1"/>
      <w:marLeft w:val="0"/>
      <w:marRight w:val="0"/>
      <w:marTop w:val="0"/>
      <w:marBottom w:val="0"/>
      <w:divBdr>
        <w:top w:val="none" w:sz="0" w:space="0" w:color="auto"/>
        <w:left w:val="none" w:sz="0" w:space="0" w:color="auto"/>
        <w:bottom w:val="none" w:sz="0" w:space="0" w:color="auto"/>
        <w:right w:val="none" w:sz="0" w:space="0" w:color="auto"/>
      </w:divBdr>
    </w:div>
    <w:div w:id="19135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erki.gov.ru/portal/public-open-data/check/2022/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2%D1%80%D1%83%D0%B4%D0%BE%D1%81%D0%BF%D0%BE%D1%81%D0%BE%D0%B1%D0%BD%D0%BE%D0%B5_%D0%BD%D0%B0%D1%81%D0%B5%D0%BB%D0%B5%D0%BD%D0%B8%D0%B5" TargetMode="External"/><Relationship Id="rId4" Type="http://schemas.openxmlformats.org/officeDocument/2006/relationships/settings" Target="settings.xml"/><Relationship Id="rId9" Type="http://schemas.openxmlformats.org/officeDocument/2006/relationships/hyperlink" Target="consultantplus://offline/ref=47187ED6C563EB4AE197AC0C307BBACCA824C52BCB797EDEABC5B217ACC53CDFC4FA9110F3445C61BE37897FJ6W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EFF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A5D2-BD1B-4FA5-B27B-C993EB29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85</Pages>
  <Words>27849</Words>
  <Characters>158744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Мэрия городского округа Тольятти</Company>
  <LinksUpToDate>false</LinksUpToDate>
  <CharactersWithSpaces>186221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Пользователь</dc:creator>
  <cp:lastModifiedBy>Ерохина Татьяна Владиславовна</cp:lastModifiedBy>
  <cp:revision>123</cp:revision>
  <cp:lastPrinted>2022-10-24T07:54:00Z</cp:lastPrinted>
  <dcterms:created xsi:type="dcterms:W3CDTF">2022-10-03T18:14:00Z</dcterms:created>
  <dcterms:modified xsi:type="dcterms:W3CDTF">2022-10-24T07:57:00Z</dcterms:modified>
</cp:coreProperties>
</file>