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142841" w14:paraId="30572945" w14:textId="77777777" w:rsidTr="00CF5D5D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ACC29" w14:textId="77777777" w:rsidR="00142841" w:rsidRDefault="00142841" w:rsidP="00CF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142841" w14:paraId="48959546" w14:textId="77777777" w:rsidTr="00CF5D5D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716E2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2841" w14:paraId="5AE878E6" w14:textId="77777777" w:rsidTr="00CF5D5D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C689C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5FBC4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142841" w14:paraId="3C2AF6B4" w14:textId="77777777" w:rsidTr="00CF5D5D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30292" w14:textId="77777777" w:rsidR="00142841" w:rsidRDefault="00142841" w:rsidP="00CF5D5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66DEA" w14:textId="77777777" w:rsidR="00142841" w:rsidRDefault="00142841" w:rsidP="00CF5D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35970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142841" w14:paraId="34ACB654" w14:textId="77777777" w:rsidTr="00CF5D5D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72923" w14:textId="77777777" w:rsidR="00142841" w:rsidRDefault="00142841" w:rsidP="00CF5D5D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142841" w14:paraId="48631702" w14:textId="77777777" w:rsidTr="00CF5D5D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20412" w14:textId="77777777" w:rsidR="00142841" w:rsidRDefault="00142841" w:rsidP="00CF5D5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г.</w:t>
                  </w:r>
                </w:p>
              </w:tc>
            </w:tr>
          </w:tbl>
          <w:p w14:paraId="1C7673DB" w14:textId="77777777" w:rsidR="00142841" w:rsidRDefault="00142841" w:rsidP="00CF5D5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76105" w14:textId="77777777" w:rsidR="00142841" w:rsidRDefault="00142841" w:rsidP="00CF5D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1A2BB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142841" w14:paraId="55C5857A" w14:textId="77777777" w:rsidTr="00CF5D5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B788D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C905D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142841" w14:paraId="1AEFF060" w14:textId="77777777" w:rsidTr="00CF5D5D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B2324" w14:textId="274A9BDE" w:rsidR="00142841" w:rsidRDefault="00142841" w:rsidP="00CF5D5D">
                  <w:pPr>
                    <w:jc w:val="center"/>
                  </w:pPr>
                </w:p>
              </w:tc>
            </w:tr>
          </w:tbl>
          <w:p w14:paraId="01E5539E" w14:textId="77777777" w:rsidR="00142841" w:rsidRDefault="00142841" w:rsidP="00CF5D5D">
            <w:pPr>
              <w:spacing w:line="1" w:lineRule="auto"/>
            </w:pPr>
          </w:p>
        </w:tc>
      </w:tr>
      <w:tr w:rsidR="00142841" w14:paraId="76996D45" w14:textId="77777777" w:rsidTr="00CF5D5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E7231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F763F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854C8" w14:textId="77777777" w:rsidR="00142841" w:rsidRDefault="00142841" w:rsidP="00CF5D5D">
            <w:pPr>
              <w:spacing w:line="1" w:lineRule="auto"/>
            </w:pPr>
          </w:p>
        </w:tc>
      </w:tr>
      <w:tr w:rsidR="00142841" w14:paraId="6D465F85" w14:textId="77777777" w:rsidTr="00CF5D5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1F091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6D84C" w14:textId="77777777" w:rsidR="00142841" w:rsidRDefault="00142841" w:rsidP="00CF5D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4AB90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04031374</w:t>
            </w:r>
          </w:p>
        </w:tc>
      </w:tr>
      <w:tr w:rsidR="00142841" w14:paraId="43BE4EB6" w14:textId="77777777" w:rsidTr="00CF5D5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B5199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64427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189BF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002A671A" w14:textId="77777777" w:rsidTr="00CF5D5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E6C4A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D3A5C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4AF6B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79BB0ABF" w14:textId="77777777" w:rsidTr="00CF5D5D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1201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AE18" w14:textId="77777777" w:rsidR="00142841" w:rsidRDefault="00142841" w:rsidP="00CF5D5D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ОРГАНИЗАЦИОННОЕ УПРАВЛЕНИЕ АДМИНИСТРАЦИИ ГОРОДСКОГО ОКРУГА ТОЛЬЯТТИ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8AF01" w14:textId="77777777" w:rsidR="00142841" w:rsidRDefault="00142841" w:rsidP="00CF5D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E7C7F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</w:t>
            </w:r>
          </w:p>
        </w:tc>
      </w:tr>
      <w:tr w:rsidR="00142841" w14:paraId="336B612C" w14:textId="77777777" w:rsidTr="00CF5D5D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82FE9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AE20" w14:textId="77777777" w:rsidR="00142841" w:rsidRDefault="00142841" w:rsidP="00CF5D5D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Бюджет городского округа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г.Тольятти</w:t>
            </w:r>
            <w:proofErr w:type="spellEnd"/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EC91A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5F596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4C40223A" w14:textId="77777777" w:rsidTr="00CF5D5D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B9B1E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AA856" w14:textId="77777777" w:rsidR="00142841" w:rsidRDefault="00142841" w:rsidP="00CF5D5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8CE4D" w14:textId="77777777" w:rsidR="00142841" w:rsidRDefault="00142841" w:rsidP="00CF5D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142841" w14:paraId="0E47ABEB" w14:textId="77777777" w:rsidTr="00CF5D5D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F1865" w14:textId="77777777" w:rsidR="00142841" w:rsidRDefault="00142841" w:rsidP="00CF5D5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36740000</w:t>
                  </w:r>
                </w:p>
              </w:tc>
            </w:tr>
          </w:tbl>
          <w:p w14:paraId="6E9B05F3" w14:textId="77777777" w:rsidR="00142841" w:rsidRDefault="00142841" w:rsidP="00CF5D5D">
            <w:pPr>
              <w:spacing w:line="1" w:lineRule="auto"/>
            </w:pPr>
          </w:p>
        </w:tc>
      </w:tr>
      <w:tr w:rsidR="00142841" w14:paraId="0496E0B9" w14:textId="77777777" w:rsidTr="00CF5D5D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FB16" w14:textId="77777777" w:rsidR="00142841" w:rsidRDefault="00142841" w:rsidP="00CF5D5D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142841" w14:paraId="515EBC73" w14:textId="77777777" w:rsidTr="00CF5D5D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66A09" w14:textId="77777777" w:rsidR="00142841" w:rsidRDefault="00142841" w:rsidP="00CF5D5D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14:paraId="3A70782C" w14:textId="77777777" w:rsidR="00142841" w:rsidRDefault="00142841" w:rsidP="00CF5D5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EF526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F5905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0093F57E" w14:textId="77777777" w:rsidTr="00CF5D5D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7CCC2" w14:textId="77777777" w:rsidR="00142841" w:rsidRDefault="00142841" w:rsidP="00CF5D5D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142841" w14:paraId="0698DF2C" w14:textId="77777777" w:rsidTr="00CF5D5D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7071F" w14:textId="77777777" w:rsidR="00142841" w:rsidRDefault="00142841" w:rsidP="00CF5D5D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14:paraId="31B64339" w14:textId="77777777" w:rsidR="00142841" w:rsidRDefault="00142841" w:rsidP="00CF5D5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DA9F0" w14:textId="77777777" w:rsidR="00142841" w:rsidRDefault="00142841" w:rsidP="00CF5D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D39ED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14:paraId="473DA5AF" w14:textId="77777777" w:rsidR="00142841" w:rsidRDefault="00142841" w:rsidP="00142841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84"/>
        <w:gridCol w:w="2210"/>
        <w:gridCol w:w="1133"/>
        <w:gridCol w:w="566"/>
        <w:gridCol w:w="2834"/>
        <w:gridCol w:w="1587"/>
        <w:gridCol w:w="1592"/>
        <w:gridCol w:w="108"/>
      </w:tblGrid>
      <w:tr w:rsidR="00142841" w14:paraId="3F166380" w14:textId="77777777" w:rsidTr="00B50A93">
        <w:tc>
          <w:tcPr>
            <w:tcW w:w="24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0C49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60610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80D5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503C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D402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0BC5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3A8E601C" w14:textId="77777777" w:rsidTr="00B50A93">
        <w:trPr>
          <w:gridBefore w:val="1"/>
          <w:gridAfter w:val="1"/>
          <w:wBefore w:w="284" w:type="dxa"/>
          <w:wAfter w:w="108" w:type="dxa"/>
          <w:trHeight w:val="408"/>
        </w:trPr>
        <w:tc>
          <w:tcPr>
            <w:tcW w:w="99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9B27" w14:textId="2C1B22E3" w:rsidR="00142841" w:rsidRPr="00B50A93" w:rsidRDefault="00142841" w:rsidP="00B50A9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50A93">
              <w:rPr>
                <w:b/>
                <w:bCs/>
                <w:color w:val="000000"/>
                <w:sz w:val="32"/>
                <w:szCs w:val="32"/>
              </w:rPr>
              <w:t>Раздел 1 "Организационная структура субъекта бюджетной отчетности"</w:t>
            </w:r>
          </w:p>
          <w:p w14:paraId="433FD14E" w14:textId="5DE67BF0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         Полное наименование: Организационное управление администрации городского округа Тольятти.</w:t>
            </w:r>
          </w:p>
          <w:p w14:paraId="024D706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Учредитель: Администрация городского округа Тольятти.</w:t>
            </w:r>
          </w:p>
          <w:p w14:paraId="6FDF16A8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Орган, осуществляющий внешний муниципальный финансовый контроль: Контрольно-счетная палата Думы городского округа Тольятти.</w:t>
            </w:r>
          </w:p>
          <w:p w14:paraId="5C751E0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Юридический и фактический адрес: 445011, РФ, Самарская область, г. Тольятти, пл. Свободы, 4. ИНН - 6320001741, КПП - 632445007, ОКПО - 4031374, ОКТМО - 36740000, ОГРН - 1036301078054.</w:t>
            </w:r>
          </w:p>
          <w:p w14:paraId="140E9C3C" w14:textId="7774E651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Организационно-правовая форма (ОКОПФ 75404) - муниципальное казенное учреждение.</w:t>
            </w:r>
          </w:p>
          <w:p w14:paraId="7A5C47CE" w14:textId="0F8C7687" w:rsidR="00142841" w:rsidRPr="00B50A93" w:rsidRDefault="00142841" w:rsidP="00B50A93">
            <w:pPr>
              <w:rPr>
                <w:color w:val="000000"/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Код главы главного распорядителя бюджетных средств – 923.</w:t>
            </w:r>
          </w:p>
          <w:p w14:paraId="5F7F6077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       Организационное управление администрации городского округа Тольятти действует на основании Положения, утвержденного распоряжением от 15.06.2017 №4568-р/1. (изм. от 08.12.2023 № 10097-р/1). Создано в целях организационного обеспечения деятельности Администрации городского округа Тольятти, </w:t>
            </w:r>
            <w:r w:rsidRPr="00B50A93">
              <w:rPr>
                <w:color w:val="000000"/>
                <w:sz w:val="28"/>
                <w:szCs w:val="28"/>
              </w:rPr>
              <w:lastRenderedPageBreak/>
              <w:t>проведения выборов и референдумов всех уровней, обеспечения документооборота Администрации.</w:t>
            </w:r>
          </w:p>
          <w:p w14:paraId="34A49BCF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Телефон/факс: (8482) 54-35-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 xml:space="preserve">61,   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>   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Pr="00B50A93">
                <w:rPr>
                  <w:rStyle w:val="a3"/>
                  <w:sz w:val="28"/>
                  <w:szCs w:val="28"/>
                </w:rPr>
                <w:t>org@tgl.ru</w:t>
              </w:r>
            </w:hyperlink>
          </w:p>
          <w:p w14:paraId="29FA213A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Управление выполняет полномочия главного распорядителя бюджетных средств (получателя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средств  бюджета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>), имеет самостоятельный баланс. Самостоятельно осуществляет бюджетный учет. Бюджетные полномочия в отчетном периоде у Управления не изменялись.</w:t>
            </w:r>
          </w:p>
          <w:p w14:paraId="7BD97D6B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Организационное управление является главным распорядителем, распорядителем, получателем бюджетных средств, главным администратором, администратором доходов бюджета, главным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 xml:space="preserve">администратором,   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>  администратором источников формирования дефицита бюджета.</w:t>
            </w:r>
          </w:p>
          <w:p w14:paraId="61AD596C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Перечень подведомственных учреждений:</w:t>
            </w:r>
          </w:p>
          <w:p w14:paraId="524C5F45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Муниципальное казенное учреждение городского округа Тольятти «Центр хозяйственно-транспортного обеспечения (МКУ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Тольятти "ЦХТО"), штатная численность - 359,1 ед.;</w:t>
            </w:r>
          </w:p>
          <w:p w14:paraId="56EFCE81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Муниципальное казенное учреждение городского округа Тольятти «Тольяттинский архив» (МКУ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Тольятти «Тольяттинский архив»), штатная численность -     38,5 ед.;</w:t>
            </w:r>
          </w:p>
          <w:p w14:paraId="48D20F0B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Муниципальное бюджетное учреждение городского округа Тольятти «Новости Тольятти» (МБУ «Новости Тольятти»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),  штатная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численность - 11 ед.</w:t>
            </w:r>
          </w:p>
          <w:p w14:paraId="3D97ED37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Информация о результатах исполнения бюджета городского круга Тольятти по главному распорядителю бюджетных средств – организационное управление размещается     на сайте Администрации городского округа Тольятти, в разделе «Бюджет для граждан».</w:t>
            </w:r>
          </w:p>
          <w:p w14:paraId="0874371E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Показатели бухгалтерской отчетности за 2023г. сформированы согласно Инструкции N 157н, Инструкции N 162н, Федеральным стандартам NN 256н, 257н, 258н, 259н, 260н, Приказу N 209Н. Бухгалтерская отчетность составлена согласно Инструкции N 191н, Федеральному стандарту N 260н.</w:t>
            </w:r>
          </w:p>
          <w:p w14:paraId="6D732F18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Управлению открыты лицевые счета:</w:t>
            </w:r>
          </w:p>
          <w:p w14:paraId="76E2AA92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в департамент финансов администрации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Тольятти л/с 029230000, л/с 059230000;</w:t>
            </w:r>
          </w:p>
          <w:p w14:paraId="70B690CE" w14:textId="16991BF1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в Управлении Федерального казначейства по Самарской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области,   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>№ счета 40101810822020012001, л/с 04423D50350.</w:t>
            </w:r>
          </w:p>
          <w:p w14:paraId="26DE3316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Банковских счетов в кредитных организациях управление не имеет.</w:t>
            </w:r>
          </w:p>
          <w:p w14:paraId="355A9D66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lastRenderedPageBreak/>
              <w:t>Бюджетный учет ведется отделом планирования и контроля, который возглавляет начальник отдела. </w:t>
            </w:r>
          </w:p>
          <w:p w14:paraId="705513B0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Касса для выдачи наличных денежных средств в организационном управлении отсутствует. Все расчеты осуществляются в безналичном порядке.</w:t>
            </w:r>
          </w:p>
          <w:p w14:paraId="0AE14BA4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Лица, имеющее право первой подписи:</w:t>
            </w:r>
          </w:p>
          <w:p w14:paraId="001F7A12" w14:textId="0C7DC4DC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Власов Владимир Александрович, руководитель управления - доверенность № 9063/1от 02.12.2022г.</w:t>
            </w:r>
          </w:p>
          <w:p w14:paraId="529AAD73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Потапова Мария Викторовна, начальник организационного отдела - доверенность № 9065/1 от 02.12.2022г.</w:t>
            </w:r>
          </w:p>
          <w:p w14:paraId="12FCF55D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Солдатов Александр Сергеевич, начальник отдела информационной политики     - доверенность № 9066/1 от 02.12.2022г.</w:t>
            </w:r>
          </w:p>
          <w:p w14:paraId="0D5DB7D2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Лица, имеющее право второй подписи:</w:t>
            </w:r>
          </w:p>
          <w:p w14:paraId="5F61AE42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Ерастова Светлана Васильевна, начальник отдела планирования и контроля;</w:t>
            </w:r>
          </w:p>
          <w:p w14:paraId="4166F1F1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Хохлова Татьяна Владимировна, главный специалист отдела планирования и контроля.</w:t>
            </w:r>
          </w:p>
          <w:p w14:paraId="255C8DD5" w14:textId="77777777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Бурухина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Юлия Сергеевна, экономист 1 категории отдела планирования и контроля.</w:t>
            </w:r>
          </w:p>
          <w:p w14:paraId="1E6B1127" w14:textId="77777777" w:rsidR="00CB521E" w:rsidRDefault="00142841" w:rsidP="00B50A93">
            <w:pPr>
              <w:spacing w:before="190" w:after="190"/>
              <w:rPr>
                <w:color w:val="000000"/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Численность организационного управления по штатному расписанию - 53 чел., в т.ч. работников финансовых служб у главного распорядителя: 5</w:t>
            </w:r>
            <w:r w:rsidR="00CB521E">
              <w:rPr>
                <w:color w:val="000000"/>
                <w:sz w:val="28"/>
                <w:szCs w:val="28"/>
              </w:rPr>
              <w:t xml:space="preserve"> </w:t>
            </w:r>
            <w:r w:rsidRPr="00B50A93">
              <w:rPr>
                <w:color w:val="000000"/>
                <w:sz w:val="28"/>
                <w:szCs w:val="28"/>
              </w:rPr>
              <w:t xml:space="preserve">чел. </w:t>
            </w:r>
          </w:p>
          <w:p w14:paraId="6AB9F1B4" w14:textId="24E91F86" w:rsidR="00142841" w:rsidRPr="00B50A93" w:rsidRDefault="00142841" w:rsidP="00B50A93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Бюджетный и бухгалтерский учет ведется отделом планирования и контроля, который возглавляет начальник отдела.</w:t>
            </w:r>
          </w:p>
          <w:p w14:paraId="24639519" w14:textId="7FF81148" w:rsidR="00142841" w:rsidRPr="00CB521E" w:rsidRDefault="00142841" w:rsidP="00CB521E">
            <w:pPr>
              <w:spacing w:before="190" w:after="190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 Количество компьютерной техники в финансовой службе: 5 шт., в т.ч.: 2 шт. - 2007г., 1 шт. -2018г., 2 шт. - 2019 г.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42841" w:rsidRPr="00B50A93" w14:paraId="3952E446" w14:textId="77777777" w:rsidTr="00CF5D5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2C1EEC10" w14:textId="77777777" w:rsidR="00142841" w:rsidRPr="00B50A93" w:rsidRDefault="00142841" w:rsidP="00B50A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C0C2FB1" w14:textId="678EA389" w:rsidR="00142841" w:rsidRPr="00B50A93" w:rsidRDefault="00142841" w:rsidP="00B50A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841" w14:paraId="0D97B9E6" w14:textId="77777777" w:rsidTr="00B50A93">
        <w:trPr>
          <w:gridBefore w:val="1"/>
          <w:gridAfter w:val="1"/>
          <w:wBefore w:w="284" w:type="dxa"/>
          <w:wAfter w:w="108" w:type="dxa"/>
          <w:trHeight w:val="322"/>
        </w:trPr>
        <w:tc>
          <w:tcPr>
            <w:tcW w:w="99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DE9A" w14:textId="77777777" w:rsidR="00142841" w:rsidRPr="00B50A93" w:rsidRDefault="00142841" w:rsidP="00B50A9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50A93">
              <w:rPr>
                <w:b/>
                <w:bCs/>
                <w:color w:val="000000"/>
                <w:sz w:val="32"/>
                <w:szCs w:val="32"/>
              </w:rPr>
              <w:lastRenderedPageBreak/>
              <w:t>Раздел 2 "Результаты деятельности субъекта бюджетной отчетности"</w:t>
            </w:r>
          </w:p>
          <w:p w14:paraId="2AAD3095" w14:textId="77777777" w:rsidR="00142841" w:rsidRPr="00B50A93" w:rsidRDefault="00142841" w:rsidP="00B50A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0868228" w14:textId="37573C38" w:rsidR="00142841" w:rsidRPr="00B50A93" w:rsidRDefault="00B50A93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142841" w:rsidRPr="00B50A93">
              <w:rPr>
                <w:color w:val="000000"/>
                <w:sz w:val="28"/>
                <w:szCs w:val="28"/>
              </w:rPr>
              <w:t>Сведения о мерах по повышению эффективности расходования бюджетных средств включают в себя следующие мероприятия:</w:t>
            </w:r>
          </w:p>
          <w:p w14:paraId="133BE857" w14:textId="0C6BD21E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</w:t>
            </w:r>
            <w:r w:rsidR="00B50A93">
              <w:rPr>
                <w:color w:val="000000"/>
                <w:sz w:val="28"/>
                <w:szCs w:val="28"/>
              </w:rPr>
              <w:t xml:space="preserve"> </w:t>
            </w:r>
            <w:r w:rsidRPr="00B50A93">
              <w:rPr>
                <w:color w:val="000000"/>
                <w:sz w:val="28"/>
                <w:szCs w:val="28"/>
              </w:rPr>
              <w:t xml:space="preserve"> 1. Установка счетчиков контроля энергоресурсов позволяет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сократить  расходы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на оплату коммунальных услуг  (261-ФЗ от 23.11.2009г.).</w:t>
            </w:r>
          </w:p>
          <w:p w14:paraId="7C4D00BB" w14:textId="43DF84C3" w:rsidR="00142841" w:rsidRPr="00B50A93" w:rsidRDefault="00142841" w:rsidP="00B50A93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   2. Закупка товаров, выполнение работ и услуг производится на основе проведения торгов путем аукционов, конкурсов, запроса котировок, размещения закупки в электронном магазине, что позволяет исключить нецелевое использование бюджетных средств, а также получить экономию от проведения </w:t>
            </w:r>
            <w:r w:rsidRPr="00B50A93">
              <w:rPr>
                <w:color w:val="000000"/>
                <w:sz w:val="28"/>
                <w:szCs w:val="28"/>
              </w:rPr>
              <w:lastRenderedPageBreak/>
              <w:t xml:space="preserve">закупок конкурентным способом.     Полученная экономия от проведения торгов позволяет сэкономить средства бюджета (50% экономии возвращается в бюджет)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и  перераспределить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(другие 50% экономии) на возникающие в процессе деятельности ГРБС (ПБС) потребности (44-ФЗ от 05.04.2013г.). </w:t>
            </w:r>
          </w:p>
          <w:p w14:paraId="008E0AEE" w14:textId="4CE38BA4" w:rsidR="00142841" w:rsidRPr="00B50A93" w:rsidRDefault="00B50A93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142841" w:rsidRPr="00B50A93">
              <w:rPr>
                <w:color w:val="000000"/>
                <w:sz w:val="28"/>
                <w:szCs w:val="28"/>
              </w:rPr>
              <w:t>3. Вручение сувенирной продукции в соответствии с постановлением администрации от 01.08.2017 2649-п/1 ограничивает по стоимости вручение сувенирной продукции при официальном визите, рабочих поездках главы городского округа и (или) его заместителей.</w:t>
            </w:r>
          </w:p>
          <w:p w14:paraId="6445F9F1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       4. Утвержденный порядок расходования средств на прием и обслуживание иностранных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делегаций  постановлением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администрации от 26.05.2023 №1725-п/1 определяет нормы расходования денежных средств на прием иностранных делегаций.</w:t>
            </w:r>
          </w:p>
          <w:p w14:paraId="6B927634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5. Введение норм расхода горюче - смазочных материалов    позволяет осуществлять контроль за расходованием ГСМ (приказ МКУ "ЦХТО" от 28.02.2023 №28-АХ «Об установлении нормы расхода топлива», приказ от 01.06.2023 №88/1 «Об установлении нормы расхода ГСМ на автомобилях»).</w:t>
            </w:r>
          </w:p>
          <w:p w14:paraId="6CCDA48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6. Введение норм расхода моющих средств позволяет осуществлять контроль за их расходованием (приказ МКУ "ЦХТО от 10.08.2022 № 130-АХ «Нормы расхода моющих средств и материалов, используемых для уборки бытовых, служебных помещений и прилегающих территорий учреждений»).</w:t>
            </w:r>
          </w:p>
          <w:p w14:paraId="282D776E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      Просроченная кредиторская задолженность, нереальная к взысканию дебиторская задолженность по бюджетной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деятельности  отсутствует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>.</w:t>
            </w:r>
          </w:p>
          <w:p w14:paraId="734B8D33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Техническое состояние, эффективное использование основных фондов, своевременное поступления материальных запасов позволяет осуществлять работу и создавать условия для достижения целей по обеспечению деятельности администрации. В тоже время существуют проблемы в части:</w:t>
            </w:r>
          </w:p>
          <w:p w14:paraId="3474E05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обновления автопарка (МКУ "ЦХТО") - удельный вес эксплуатируемых автомобилей составляют транспортные средства со сроком службы свыше 5 лет;</w:t>
            </w:r>
          </w:p>
          <w:p w14:paraId="02CFBC3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 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них);</w:t>
            </w:r>
          </w:p>
          <w:p w14:paraId="2CAD77EA" w14:textId="0469BAB1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 основных мероприятий по улучшению состояния и сохранности основных средств.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42841" w:rsidRPr="00B50A93" w14:paraId="58A5B136" w14:textId="77777777" w:rsidTr="00CF5D5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1E0C4AFE" w14:textId="77777777" w:rsidR="00142841" w:rsidRPr="00B50A93" w:rsidRDefault="00142841" w:rsidP="00B50A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78C54A2" w14:textId="1F6883F2" w:rsidR="00142841" w:rsidRPr="00B50A93" w:rsidRDefault="00142841" w:rsidP="00B50A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841" w14:paraId="2C528EAC" w14:textId="77777777" w:rsidTr="00B50A93">
        <w:trPr>
          <w:gridBefore w:val="1"/>
          <w:gridAfter w:val="1"/>
          <w:wBefore w:w="284" w:type="dxa"/>
          <w:wAfter w:w="108" w:type="dxa"/>
          <w:trHeight w:val="322"/>
        </w:trPr>
        <w:tc>
          <w:tcPr>
            <w:tcW w:w="99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A661" w14:textId="77777777" w:rsidR="00B50A93" w:rsidRDefault="00B50A93" w:rsidP="00B50A9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14:paraId="10C36760" w14:textId="59133A83" w:rsidR="00142841" w:rsidRPr="00B50A93" w:rsidRDefault="00142841" w:rsidP="00B50A9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50A93">
              <w:rPr>
                <w:b/>
                <w:bCs/>
                <w:color w:val="000000"/>
                <w:sz w:val="32"/>
                <w:szCs w:val="32"/>
              </w:rPr>
              <w:t>Раздел 3 "Анализ отчета об исполнении бюджета субъектом бюджетной отчетности"</w:t>
            </w:r>
          </w:p>
          <w:p w14:paraId="18A24708" w14:textId="77777777" w:rsidR="00142841" w:rsidRPr="00B50A93" w:rsidRDefault="00142841" w:rsidP="00B50A93">
            <w:pPr>
              <w:rPr>
                <w:color w:val="000000"/>
                <w:sz w:val="28"/>
                <w:szCs w:val="28"/>
              </w:rPr>
            </w:pPr>
          </w:p>
          <w:p w14:paraId="59CA5511" w14:textId="7A1F88B1" w:rsidR="00142841" w:rsidRPr="00B50A93" w:rsidRDefault="00B50A93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</w:t>
            </w:r>
            <w:r w:rsidR="00142841" w:rsidRPr="00B50A93">
              <w:rPr>
                <w:color w:val="000000"/>
                <w:sz w:val="28"/>
                <w:szCs w:val="28"/>
              </w:rPr>
              <w:t>Сведения об исполнении текстовых статей закона (решения) о бюджете представлена в Таблице N 3 Пояснительной записки (ф. 0503160);</w:t>
            </w:r>
          </w:p>
          <w:p w14:paraId="422E4105" w14:textId="778DE7EF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Информация об исполнении бюджета представлена в (ф. 0503164) «Сведения об исполнении бюджета».</w:t>
            </w:r>
            <w:r w:rsidR="00B50A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Согласно</w:t>
            </w:r>
            <w:r w:rsidR="00B50A93">
              <w:rPr>
                <w:color w:val="000000"/>
                <w:sz w:val="28"/>
                <w:szCs w:val="28"/>
              </w:rPr>
              <w:t xml:space="preserve"> </w:t>
            </w:r>
            <w:r w:rsidRPr="00B50A93">
              <w:rPr>
                <w:color w:val="000000"/>
                <w:sz w:val="28"/>
                <w:szCs w:val="28"/>
              </w:rPr>
              <w:t>формы</w:t>
            </w:r>
            <w:proofErr w:type="gramEnd"/>
            <w:r w:rsidR="00B50A93">
              <w:rPr>
                <w:color w:val="000000"/>
                <w:sz w:val="28"/>
                <w:szCs w:val="28"/>
              </w:rPr>
              <w:t xml:space="preserve"> </w:t>
            </w:r>
            <w:r w:rsidRPr="00B50A93">
              <w:rPr>
                <w:color w:val="000000"/>
                <w:sz w:val="28"/>
                <w:szCs w:val="28"/>
              </w:rPr>
              <w:t>результат исполнения бюджета составил 98,28 % от плановых назначений.</w:t>
            </w:r>
          </w:p>
          <w:p w14:paraId="0381407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Форма 0503164 «Сведения об исполнении бюджета» в графе 9 раздела 1 «Доходы бюджета» анализ отклонения фактического исполнения доходов бюджета от плановых поступлений доходов в бюджет:</w:t>
            </w:r>
          </w:p>
          <w:p w14:paraId="10932BC4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КБК 92311301994040000130 «Прочие доходы от оказания платных услуг (работ) получателями бюджетов городских округов» исполнение на сумму 1 514,3,0 тыс. руб., что составляет 100,95% от годового плана по доходам на 2023г. (1 500,0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) Поступлений больше, в связи с увеличением спроса на архивные работы по научно-технической обработке документов по личному составу ликвидируемых организаций для последующей передачи в архив для хранения.</w:t>
            </w:r>
          </w:p>
          <w:p w14:paraId="7902AE74" w14:textId="77777777" w:rsidR="00142841" w:rsidRPr="00B50A93" w:rsidRDefault="00142841" w:rsidP="00B50A93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КБК 92311302994040000130 «Прочие доходы от компенсации затрат бюджетов городских округов» исполнение на сумму 1 309,2 тыс. руб., что составляет 111,71% от годового плана по доходам на 2023г. (1 172,0 тыс.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) Превышение на сумму 137,2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(возмещение ущерба) Данные поступления планом по доходам на 2023 год предусмотрены не были.</w:t>
            </w:r>
          </w:p>
          <w:p w14:paraId="5205BC9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КБК 92311607010040000140 «Штрафы, неустойки, пени, уплаченные в случае просрочки исполнения поставщиком обязательств, предусмотренные муниципальным контрактом, заключенным муниципальным органом, казенным учреждением городского округа»  исполнение на сумму 15,6 тыс. руб., что составляет 111,53% от годового плана по доходам на 2023г. (14,0 тыс.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)  Превышение на сумму 1,6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Превышение связано с тем, что доход от штрафов, неустоек и пеней точно предугадать невозможно. </w:t>
            </w:r>
          </w:p>
          <w:p w14:paraId="41219244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КБК 92311607090040000140 «Штрафы,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 городского округа»  исполнение на сумму 8,9 тыс. руб., что составляет 99,12% от годового плана по доходам на 2023г. (9,0 тыс.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) Неисполнение 100% связанно с тем,  что данные поступления в доход от штрафов, неустоек и пеней точно предугадать невозможно.</w:t>
            </w:r>
          </w:p>
          <w:p w14:paraId="3FF510F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КБК 92311610031040000140 исполнение на сумму 664,0 тыс. руб., что составляет 86,91 % от годового плана по доходам на 2023г. (764,0 тыс.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руб</w:t>
            </w:r>
            <w:proofErr w:type="spellEnd"/>
            <w:proofErr w:type="gramStart"/>
            <w:r w:rsidRPr="00B50A93">
              <w:rPr>
                <w:color w:val="000000"/>
                <w:sz w:val="28"/>
                <w:szCs w:val="28"/>
              </w:rPr>
              <w:t>)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По данной классификации доходов, денежные средства поступают в доход бюджета в результате фактов возникновения страховых случаев. Данные поступления носят заявительный характер и точно предугадать доход невозможно. </w:t>
            </w:r>
          </w:p>
          <w:p w14:paraId="2FF15580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lastRenderedPageBreak/>
              <w:t>КБК 92320235120040000150 «Субвенции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 исполнение на сумму 68,0 тыс. руб., что составляет 94,43% от годового плана по доходам на 2023 г. (72,0 тыс. руб.). Перечисление межбюджетных трансфертов в пределах сумм, необходимых для оплаты денежных обязательств по расходам получателей средств федерального бюджета.                </w:t>
            </w:r>
          </w:p>
          <w:p w14:paraId="5869E18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Организационное управление не является заказчиком и (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или)  исполнителем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каких – либо  федеральных государственных целевых программ, и (или) национальных проектов.  </w:t>
            </w:r>
          </w:p>
          <w:p w14:paraId="336197E8" w14:textId="7710AB70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В соответствии с решением Думы городского округа Тольятти от 20.12.2023 г. № 92  «О внесении изменений в решение Думы городского округа Тольятти от 23.11.2022 г. № 1418 «О бюджете городского округа Тольятти на 2023 год и на плановый период 2024 и 2025 годов» ассигнования на 2023 год составляют 241 469 000,00 рублей, а по отчету по исполнению бюджета ассигнования на 2023 год составляют 241 469 265,17 рублей (разница составляет 265,17 рублей за счет округления до тысячных рублей в решение Думы городского округа Тольятти).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42841" w:rsidRPr="00B50A93" w14:paraId="118B2537" w14:textId="77777777" w:rsidTr="00CF5D5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47CCA963" w14:textId="77777777" w:rsidR="00142841" w:rsidRPr="00B50A93" w:rsidRDefault="00142841" w:rsidP="00B50A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1F7830" w14:textId="2B51A7EF" w:rsidR="00B50A93" w:rsidRPr="00B50A93" w:rsidRDefault="00B50A93" w:rsidP="00B50A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841" w14:paraId="404F8646" w14:textId="77777777" w:rsidTr="00B50A93">
        <w:trPr>
          <w:gridBefore w:val="1"/>
          <w:gridAfter w:val="1"/>
          <w:wBefore w:w="284" w:type="dxa"/>
          <w:wAfter w:w="108" w:type="dxa"/>
          <w:trHeight w:val="408"/>
        </w:trPr>
        <w:tc>
          <w:tcPr>
            <w:tcW w:w="99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3007" w14:textId="77777777" w:rsidR="00142841" w:rsidRPr="00B50A93" w:rsidRDefault="00142841" w:rsidP="00B50A9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50A93">
              <w:rPr>
                <w:b/>
                <w:bCs/>
                <w:color w:val="000000"/>
                <w:sz w:val="32"/>
                <w:szCs w:val="32"/>
              </w:rPr>
              <w:lastRenderedPageBreak/>
              <w:t>Раздел 4 "Анализ показателей бухгалтерской отчетности субъекта бюджетной отчетности"</w:t>
            </w:r>
          </w:p>
          <w:p w14:paraId="32801D4D" w14:textId="1164288C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        Перед составлением годовой бюджетной бухгалтерской отчетности за 2023 год проведены инвентаризации активов и обязательств, учитываемых:</w:t>
            </w:r>
          </w:p>
          <w:p w14:paraId="77F0E05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- в организационном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управлении,  на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основании Решения от 14.11.2023г. № 2 по данным расхождений не выявлено;</w:t>
            </w:r>
          </w:p>
          <w:p w14:paraId="6EDC8EB3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в 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Тольятти "ЦХТО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",  на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основании Решения от 12.09.2023г. №1 по данным расхождений не выявлено;</w:t>
            </w:r>
          </w:p>
          <w:p w14:paraId="1E5B6257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- в 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"Тольяттинский архив"     на основании Решения от 12.12.2023г. № 2 по данным расхождений не выявлено.</w:t>
            </w:r>
          </w:p>
          <w:p w14:paraId="32D85A14" w14:textId="77777777" w:rsidR="00142841" w:rsidRPr="00B50A93" w:rsidRDefault="00142841" w:rsidP="00B50A93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Расхождений с данными бухгалтерского учета нет. В результате проведения инвентаризации по некоторым позициям были выявлены признаки обесценения активов нефинансовых объектов. Решение по дальнейшей эксплуатации объектов будет принято комиссией в 2023 году.</w:t>
            </w:r>
          </w:p>
          <w:p w14:paraId="60CE94C3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 1 января 2023 года для составления отчетности используются федеральный стандарт:</w:t>
            </w:r>
          </w:p>
          <w:p w14:paraId="702DE477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от 15.06.2021 № 84н «Об утверждении федерального стандарта бухгалтерского учета государственных финансов "Государственная (муниципальная) казна"» СГС «Государственная (муниципальная) казна»</w:t>
            </w:r>
          </w:p>
          <w:p w14:paraId="2BA28B17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lastRenderedPageBreak/>
              <w:t>«События после отчетной даты» до предоставления бюджетной отчетности за 2023 год у организационного управления администрации городского округа Тольятти не возникали.</w:t>
            </w:r>
          </w:p>
          <w:p w14:paraId="020BC90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«Справка по заключению счетов бюджетного учета отчетного финансового года» ф. 0503110:</w:t>
            </w:r>
          </w:p>
          <w:p w14:paraId="192C26CE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КБК11402042040000410 счет 40110172 на сумму 49 668,68 руб.    восстановлены основные средства (мебель) с забалансового счета 21 для передачи МКОУ ДПО РЦ по постановлению от 14.07.2023 №2265-п/1.</w:t>
            </w:r>
          </w:p>
          <w:p w14:paraId="4DD959B8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КБК11402042040000440 счет 40110172 на сумму 37 826,94 руб.   восстановлены материальные запасы, выданные в личное пользование сотрудникам, с забалансового счета 27 для передачи между материально-ответственными лицами 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г.о.Тольятти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«ЦХТО»</w:t>
            </w:r>
          </w:p>
          <w:p w14:paraId="2653D11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КБК11302994040000130 счет 40110173 на сумму 2 000,00 руб. На основании приказа № 233 от 06.12.2023 «О списании дебиторской задолженности в качестве безнадежного долга» расходы были списаны, в связи с окончанием исполнительного производства №31547/21/63043-ИП от 20.08.2021г. прекращением деятельности юридического лица ООО «ТПК САМАРАСПЕЦ», взыскание расходов по уплате государственной пошлины, оплаченной по п/п №2377 от 20.11.2020.</w:t>
            </w:r>
          </w:p>
          <w:p w14:paraId="788A4D9A" w14:textId="24E40A7C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КБК11609040040000140 счет 40110173 на сумму 12 376,77 руб.: 25 февраля 2021 г. 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г.о.Тольятти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«ЦХТО» Арбитражным судом Самарской области выдан исполнительный лист серии ФС №034165694. Задолженность по исполнительному листу поставлена на балансовый учет учреждения. 15.04.2021 в ОСП железнодорожного района г. Самары было возбуждено исполнительное производство №31547/21/63043-ИП о взыскании с ООО «ТПК СамараСпец».20.08.2021г. исполнительное производство окончено с невозможностью установления местонахождения должника. Согласно сведениям налогового органа ФНС России,29.06.2023 Межрайонной инспекцией Федеральной налоговой службы №20 по Самарской области внесена запись в ЕГРЮЛ в отношении ООО «ТПК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СамараСпец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» о прекращении деятельности юридического лица (исключение из ЕГРЮЛ). Таким образом, исключение из ЕГРЮЛ и решение об исключении «ТПК САМАРАСПЕЦ» ПРИНЯТО НАЛОГОВЫМ ОРГАНОМ В ПЕРИОД, КОГДА ИСПОЛНИТЕЛЬНОЕ ПРОИЗВОДСТВО БЫЛО ОКОНЧЕНО, ЗАЯВИТЬ В НАЛОГОВЫЙ ОРГАН О БАНКРОТСТВЕ ООО «ТПК САМАРСПЕЦ» не представлялось возможным в связи с задолженностью менее 300 000 рублей, недобросовестность юридического лица приведших к невозможности исполнения обязательств по решению суда не представляется возможным.</w:t>
            </w:r>
          </w:p>
          <w:p w14:paraId="084060B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На сумму 1 000,00 руб. ООО «АКВИЛОН» списании неустойки (штрафа, пени) по МК 0842300004023000061 от 03.04.2023 на оказание услуг по техническому </w:t>
            </w:r>
            <w:r w:rsidRPr="00B50A93">
              <w:rPr>
                <w:color w:val="000000"/>
                <w:sz w:val="28"/>
                <w:szCs w:val="28"/>
              </w:rPr>
              <w:lastRenderedPageBreak/>
              <w:t>обслуживанию и ремонту кондиционеров, приказ от 13.06.2023 №109. Приказ от 13.06.2023 №109, решение комиссии о списании неустойки.</w:t>
            </w:r>
          </w:p>
          <w:p w14:paraId="28CB6B4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140120241 "Расходы на безвозмездные перечисления текущего характера" – 8 484 000,00 руб., отражен результат по расходам: перечисление по выполнение муниципального задания по Соглашению от 10.01.2023 № 3-дг/6.3-1, дополнительное соглашение № 1 от 22.03.2023г.</w:t>
            </w:r>
          </w:p>
          <w:p w14:paraId="1EDE80D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40110000 отражается признание отложенных доходов от предоставления права пользования автотранспортных средств на общую сумму 12 188 000,00руб. в том числе: </w:t>
            </w:r>
          </w:p>
          <w:p w14:paraId="590243D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 по счету 40110182   отражается признание отложенных доходов от предоставления права пользования автотранспортах средств от АО «АВТОВАЗ» на сумму 8 176 000,00руб.  </w:t>
            </w:r>
          </w:p>
          <w:p w14:paraId="46F23F80" w14:textId="77777777" w:rsidR="00142841" w:rsidRPr="00B50A93" w:rsidRDefault="00142841" w:rsidP="00B50A93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 по счету 40110187 отражается признание отложенных доходов от предоставления права пользования автотранспортных средств от физического лица на сумму 4 015 000,00 руб. </w:t>
            </w:r>
          </w:p>
          <w:p w14:paraId="645F8504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«Справка по консолидируемым расчетам» ф. 0503125:</w:t>
            </w:r>
          </w:p>
          <w:p w14:paraId="3F7EDAC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В рамках внутриведомственных расчетов в отчетном периоде:</w:t>
            </w:r>
          </w:p>
          <w:p w14:paraId="009B9C20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Получено безвозмездно движимое имущество от:</w:t>
            </w:r>
          </w:p>
          <w:p w14:paraId="6CC121F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Департамента финансов администрации городского округа Тольятти на сумму 7 116,65 руб. (мебель) с начисленной амортизацией 100 % (постановление от 19.05.2023г.№ 1650-п/1), 13096,10 руб. (мебель) с начисленной амортизацией в размере 6 456,78 руб. (постановление от 28.11.2023г.№ 3204-п/1).</w:t>
            </w:r>
          </w:p>
          <w:p w14:paraId="4840A5E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Передано муниципальное имущество на сумму 1 776 063,05 руб., в т.ч.:</w:t>
            </w:r>
          </w:p>
          <w:p w14:paraId="73292B2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- Департаменту по управлению имуществом на сумму 1 244 833,60 руб. с начисленной амортизацией в размере 100% (автотранспорт, доп. оборудование) по постановлению от 04.10.2023 № 2849-п/1)</w:t>
            </w:r>
          </w:p>
          <w:p w14:paraId="0D69D67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Департаменту образования администрации городского округа Тольятти (мебель, кондиционер) на сумму 531 229,45 руб. с начисленной амортизацией в размере 481 560,77 руб. (постановление от 14.07.2023 №2265-п/1).</w:t>
            </w:r>
          </w:p>
          <w:p w14:paraId="30550512" w14:textId="77777777" w:rsidR="00142841" w:rsidRDefault="00142841" w:rsidP="00B50A93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При составлении справки по консолидируемым расчетам (ф. 0503125) передача движимого имущества подтверждено актами сверки с ДУМИ.</w:t>
            </w:r>
          </w:p>
          <w:p w14:paraId="63737EA6" w14:textId="77777777" w:rsidR="004B6237" w:rsidRPr="00B50A93" w:rsidRDefault="004B6237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</w:p>
          <w:p w14:paraId="1F9D1C9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 «Отчет о бюджетных обязательствах» ф. 0503128 </w:t>
            </w:r>
          </w:p>
          <w:p w14:paraId="695FB46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     По КВР 111 принятые и исполненные обязательства меньше утвержденных бюджетных ассигнований и ЛБО на сумму 41549,72 руб. Это связано с </w:t>
            </w:r>
            <w:r w:rsidRPr="00B50A93">
              <w:rPr>
                <w:color w:val="000000"/>
                <w:sz w:val="28"/>
                <w:szCs w:val="28"/>
              </w:rPr>
              <w:lastRenderedPageBreak/>
              <w:t>неиспользованными средствами по листам нетрудоспособности в части начислений и перечислений за первые 3 дня болезни.</w:t>
            </w:r>
          </w:p>
          <w:p w14:paraId="49EBE7E9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«Сведения о движении нефинансовых активов» ф. 0503168:</w:t>
            </w:r>
          </w:p>
          <w:p w14:paraId="7A2CBE2B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 Код строки 010 " Основные средства" - на начало года наличие основных средств на сумму 106 253 450,70 руб.</w:t>
            </w:r>
          </w:p>
          <w:p w14:paraId="2188605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Поступило в 2023 году на сумму 23 891 539,71 руб., в том числе:</w:t>
            </w:r>
          </w:p>
          <w:p w14:paraId="07E5F3F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Получено движимое имущество: </w:t>
            </w:r>
          </w:p>
          <w:p w14:paraId="1BCCB08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от МБУ «Школа № 18 имени Ф.М.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Колыбова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"» на сумму 19 578 048,92 руб. (19 539 259,92руб. – здание детского сада №4 "Малинка"; 38 789,00 руб. - овощехранилище) в соответствии с постановлением от 15.03.2023 № 887-п/1. Акт о приеме-передаче объектов нефинансовых активов №00000039 от 17.05.2023г.;</w:t>
            </w:r>
          </w:p>
          <w:p w14:paraId="169C2F0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от МАОУ детский сад №49 «Веселые нотки» на сумму 48 900,00 руб. (кондиционер) с начисленной амортизацией в размере 100% (распоряжение от 06.03.2023 № 1430-р/5);</w:t>
            </w:r>
          </w:p>
          <w:p w14:paraId="00C554E0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 от департамента финансов администрации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Тольятти на сумму 7 116,65 руб., (мебель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)(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>постановление от 19.05.2023г.№ 1650-п/1), на сумму 13 096,10 руб. (мебель) с начисленной амортизацией в размере 6 456,78 руб.(постановление от 28.11.2023г.№ 3204-п/1);</w:t>
            </w:r>
          </w:p>
          <w:p w14:paraId="2D55B85E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на сумму 49 668,68 руб.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восстановленны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основные средства с забалансового счета для безвозмездной передачи МКОУ ДПО РЦ;</w:t>
            </w:r>
          </w:p>
          <w:p w14:paraId="4C8EC15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на сумму 4194 709,36 руб. – приобретено учреждением (автомобили, мебель, кондиционеры, офисные кресла, МФУ, тепловизор, жалюзи, вывеска тактильная, диспансер,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квадракоптер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, обогреватели, лампы, насос, портфель для секретных документов, пылесос, тележки грузовые, тележки уборочные, таблички фасадные, уничтожитель бумаг, шкафы для одежды и др.  </w:t>
            </w:r>
          </w:p>
          <w:p w14:paraId="1B9B3D99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Выбыло в 2023 году на сумму 5 318 932,10 руб., в том числе:</w:t>
            </w:r>
          </w:p>
          <w:p w14:paraId="2D96C770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- передано безвозмездно движимое имущество      на   сумму 1 244 833,60 руб. в ДУМИ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Тольятти (автомобили и доп. оборудование) в соответствии с постановлением от 04.10.2023 № 2849-п/1.;</w:t>
            </w:r>
          </w:p>
          <w:p w14:paraId="0C6DD7A7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передано безвозмездно МКОУ ДПО РЦ (мебель, кондиционер) на сумму 531 229,45 руб.  в соответствии с постановлением от 14.07.2023 № 2265-п/1;</w:t>
            </w:r>
          </w:p>
          <w:p w14:paraId="6CF6CB7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передано безвозмездно МКУ «Тольяттинский архив» (стеллажи) на сумму 25 398,73 руб. в соответствии с постановлением от 20.07.2023№ 2318-п/1;</w:t>
            </w:r>
          </w:p>
          <w:p w14:paraId="52E8EEC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- переведены на забалансовый счет 21 «основные средства стоимостью до 10000,00 руб., в связи с вводом в эксплуатацию на сумму 3 517 470,32 руб.</w:t>
            </w:r>
          </w:p>
          <w:p w14:paraId="4D1DDC1B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lastRenderedPageBreak/>
              <w:t>  Остаток на конец года основных средств составил 124 826 058,31 руб.                           Код строки 070 "Вложения в основные средства" - остаток на    начало        года    отсутствует. В 2023 году финансовые вложения в основные средства составили 3 789 988,48 рублей. Принято к учету и введено в эксплуатацию основных средств на сумму 3 789 988,48 руб. Остаток на конец года отсутствует.</w:t>
            </w:r>
          </w:p>
          <w:p w14:paraId="0D91C30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Код строки 190 "Материальные запасы". На начало года наличие нефинансовых активов – материальных запасов составило 7 196 038,17 руб., приобретено на сумму 19 352 070,50 руб. (в т.ч. получено от АО «АВТОВАЗ» на сумму 814 786,09 руб. договор от 09.10.2020г. № 944132), выбыло на сумму 17 874 716,36 руб. (из них 17 258 410,28 руб.   – списано       на    нужды учреждений, 366 331,92 руб.- переведены на забалансовый счет 09 «Запчасти к транспортным средствам, выданные взамен изношенных). Остаток на конец года на сумму 8 673 392,31 руб.</w:t>
            </w:r>
          </w:p>
          <w:p w14:paraId="2BF4183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 На начало года наличие прав пользования активами составило 505 800,00 руб. (права пользования программным обеспечением и базами данных), поступило на сумму 12 191 000,00руб, из них: 12 191 00,00руб.(права пользования транспортными средствами); 95 550,00руб. (права пользования программным обеспечением и базами данных), выбыло на сумму 12 191 000,00руб.(права пользования транспортными средствами), остаток на конец года на сумму 601 350,00руб.</w:t>
            </w:r>
          </w:p>
          <w:p w14:paraId="7D183419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«Сведения по дебиторской и кредиторской задолженности» (ф. 0503169):</w:t>
            </w:r>
          </w:p>
          <w:p w14:paraId="2493AAB4" w14:textId="2750DAA9" w:rsidR="00142841" w:rsidRPr="00B50A93" w:rsidRDefault="004B6237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142841" w:rsidRPr="00B50A93">
              <w:rPr>
                <w:color w:val="000000"/>
                <w:sz w:val="28"/>
                <w:szCs w:val="28"/>
              </w:rPr>
              <w:t>Дебиторская       задолженность      по         состоянию на 01.01.2024 г.   составила 3 472 696,44 руб., в том числе:</w:t>
            </w:r>
          </w:p>
          <w:p w14:paraId="50088C8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Счет 1 205 74 000 «Расчеты по доходам от операций с материальными запасами» в сумме 12 546,00 руб., задолженность за реализацию металлолома, полученного от утилизации списанного с баланса имущества   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Тольятти "ЦХТО"   по Договору № Г-09/2022 от 08.12.2022 г с ООО «Горизонт» (п.197, 199 инструкция к Единому плану счетов «157н, п.4 письма Минфина от 16.07.2019 № 02-07-10/52723).</w:t>
            </w:r>
          </w:p>
          <w:p w14:paraId="7304591B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Счет 1 206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21  000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«Расчеты по авансам по услугам связи»  в  сумме 15 879,96 руб., АО "Почта  России" за декабрь 2023г. в сумме 15 879,96 руб., авансовый  платеж по условиям муниципального контракта на оказание услуг почтовой связи. Задолженность будет погашена после выставления акта оказанных услуг за декабрь 2023г.</w:t>
            </w:r>
          </w:p>
          <w:p w14:paraId="08DB4BE3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1 206 23 000 «Расчеты по авансам по коммунальным услугам» в сумме 1 225 026,81 руб., в том числе:</w:t>
            </w:r>
          </w:p>
          <w:p w14:paraId="5FFAE64E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– 549 678,65 руб. авансовый платеж Тольяттинскому отделению ПАО «Самараэнерго»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за  поставку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электроэнергии  за декабрь   2023г. Задолженность будет погашена в январе 2024г после выставления актов приема-передачи </w:t>
            </w:r>
            <w:r w:rsidRPr="00B50A93">
              <w:rPr>
                <w:color w:val="000000"/>
                <w:sz w:val="28"/>
                <w:szCs w:val="28"/>
              </w:rPr>
              <w:lastRenderedPageBreak/>
              <w:t>электроэнергии за декабрь 2023г., в соответствии с условиями муниципальных контрактов.</w:t>
            </w:r>
          </w:p>
          <w:p w14:paraId="376229E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– 51 066,84 руб. авансовый платеж АО «ТЭК» за   поставку электроэнергии за декабрь 2023г. Задолженность будет погашена в январе 2024г после выставления акта приема-передачи электроэнергии за декабрь 2023г., в соответствии с условиями муниципального контракта.</w:t>
            </w:r>
          </w:p>
          <w:p w14:paraId="4BEF895E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- 587 378,73 руб., задолженность ПАО «Т Плюс» за тепловую энергию за декабрь 2023г. Авансовый платеж за декабрь 2023г. по условиям муниципального контракта на оказание услуг теплоснабжения. Задолженность будет погашена в январе 2024г. после выставления акта приема-передачи тепловой энергии за декабрь 2023г.</w:t>
            </w:r>
          </w:p>
          <w:p w14:paraId="3F75C94B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- 1 940,71 руб., задолженность ООО «Средневолжская газовая компания» за транспортировку газа за декабрь 2023г. Авансовый     платеж за   декабрь 2023г. по условиям муниципального контракта на оказание услуг. Задолженность будет погашена в январе 2024г. после выставления акта на оказание услуг за декабрь 2023г.</w:t>
            </w:r>
          </w:p>
          <w:p w14:paraId="24B81C89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- 7 406,13 руб., задолженность ООО "Газпром   межрегионгаз Самара" за поставку газа за декабрь 2023г. Авансовый платеж за декабрь 2023г. по условиям муниципального контракта на поставку газа. Задолженность будет погашена в январе 2024г. после выставления накладной на поставку газа за декабрь 2023г.</w:t>
            </w:r>
          </w:p>
          <w:p w14:paraId="462B88E3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- 18 430,29 руб., задолженность ООО «ВКС» за оказание услуг по холодному водоснабжению и водоотведению за декабрь 2023г. Авансовый   платеж за декабрь 2023г. по условиям муниципального контракта на оказание услуг по холодному водоснабжению и водоотведению. Задолженность будет погашена в январе 2024г. после выставления акта на оказание услуг за декабрь 2023г.</w:t>
            </w:r>
          </w:p>
          <w:p w14:paraId="0F2F537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- 9 125,46 руб., задолженность АО "ПО КХ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. Тольятти" за отведение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ливн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. стоков за декабрь 2023г. Авансовый   платеж за декабрь 2023г. по условиям муниципального контракта на оказание услуг по отведению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ливн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. стоков. Задолженность будет погашена в январе 2024г. после выставления акта на оказание услуг за декабрь 2023г.</w:t>
            </w:r>
          </w:p>
          <w:p w14:paraId="25A2D940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Счет 1 206 26 000 «Расчеты по авансам по прочим работам, услугам» в     сумме     377 508,33 руб. - предоплата ООО "АДП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Информ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" за   электронную и печатную подписку   периодических изданий на 2024 год. По условиям муниципальных контрактов задолженность будет погашаться ежемесячно по актам оказанных услуг (накладным) в течении 2024 года.</w:t>
            </w:r>
          </w:p>
          <w:p w14:paraId="737522D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1 208 12 000 «Расчеты с подотчетными лицами по прочим выплатам» в сумме 2 800,00 руб., в том числе: выплачено на командировочные расходы (суточные) подотчетным лицам. Погашение задолженности произойдет после сдачи авансовых отчетов подотчетными лицами.</w:t>
            </w:r>
          </w:p>
          <w:p w14:paraId="6FC7AEC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lastRenderedPageBreak/>
              <w:t xml:space="preserve">Счет 1 208 21 000 «Расчеты с подотчетными лицами по оплате услуг связи» в сумме 1 544 737,80 руб.  выданы подотчетным лицам денежные документы (марки и конверты). Погашение задолженности происходит,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согласно авансовых отчетов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предоставляемых подотчетными лицами ежемесячно, ежеквартально.</w:t>
            </w:r>
          </w:p>
          <w:p w14:paraId="5A8A275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 Счет 1 209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71  000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«Расчеты по ущербу основным средствам» в сумме 232 400,00 руб. - выставлен ущерб за хищение транспортного средства по приговору суда. Приговор от 11.06.2014г. Железнодорожного районного суда г. Самары. Постановлением Железнодорожного районного суда г. Самары от 01.03.2018г.     установлено, что оригинал исполнительного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листа  по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уголовному делу №1-145/14 (исполнительное производство №4449/17/63038-ИП от 03.04.2017) находится на исполнении в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в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ОСП Ленинского района г. Самара. В настоящее время судебным приставом-исполнителем ведется работа с целью определения местонахождения должника (18.02.2019 направлено письмо с просьбой объявить розыск должника Сысоева Павла Александровича, 11.06.1980 года рождения и его имущества).  16 ноября 2021 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. Тольятти «ЦХТО» был направлен в УФСИН по Самарской области запрос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о  предоставлении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информации о содержании Сысоева П.А. в местах лишения свободы Самарской области. 25.11.2021 г. от УФСИН получен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ответ,  что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в местах лишения свободы Самарской области Сысоев не значится. Также, МКУ «ЦХТО» был направлен запрос судебному приставу исполнителю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Дильдиной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Т.И. с вопросами на какой стадии находится ИП, какие исполнительные действия по нему совершены, проживает ли должник по месту жительства, приняты ли меры по объявлению его в розыск. 19.11.2021 г. письмо судебным приставом получено, срок ответа на письмо истек 19.12.2021 г., ответ не получен. 06 декабря 2021 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. Тольятти «ЦХТО» был направлен запрос № 787/6.3-5 в ФСИН России с вопросом о содержании Сысоева в местах лишения свободы России. Ответ на данный момент пока не поступил.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В  ОСП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Ленинского района  г. Самара был сделан очередной запрос №127/6.3-5 от 16.03.2023г.и 30.11.2023г., ответ по настоящее время не поступил. Исполнительное производство не окончено, судебные приставы принимают исполнительно-розыскные действия, направленные на установление местонахождения должника, его имущества, для взыскания ущерба за хищение транспортного средства.</w:t>
            </w:r>
          </w:p>
          <w:p w14:paraId="011352D4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Таким образом, виновное лицо находится без определения местонахождения. Взыскать задолженность не представляется возможным. </w:t>
            </w:r>
          </w:p>
          <w:p w14:paraId="5D5D40EB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1 303 05 000 «Расчеты      по    прочим   платежам      в   бюджет» в сумме 61 429,54 руб. - переплата за размещение отходов производства и потребления за 2023г. Учреждение освобождено от уплаты налога за негативное воздействие на окружающую среду, Данная сумма переплаты будет перенесена уведомлением в 2024 году на другой налог.</w:t>
            </w:r>
          </w:p>
          <w:p w14:paraId="5D905029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1 303 14 000 «Расчеты   по        единому налоговому платежу» в сумме 368,00 руб., авансовый платеж по транспортному налогу, будет произведен зачет после подтверждения данных ФНС.</w:t>
            </w:r>
          </w:p>
          <w:p w14:paraId="04602391" w14:textId="260A4A57" w:rsidR="00142841" w:rsidRPr="00B50A93" w:rsidRDefault="004B6237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142841" w:rsidRPr="00B50A93">
              <w:rPr>
                <w:color w:val="000000"/>
                <w:sz w:val="28"/>
                <w:szCs w:val="28"/>
              </w:rPr>
              <w:t>Кредиторская задолженность по состоянию на 01.01.2024г. составила 54 136,48 руб., в том числе:</w:t>
            </w:r>
          </w:p>
          <w:p w14:paraId="77413003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1 302 23 000 «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Расчеты  по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коммунальным услугам» в  сумме 54 136,48 руб.,  в том числе:</w:t>
            </w:r>
          </w:p>
          <w:p w14:paraId="1ADBE817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- 54 136,48 руб., задолженность ПАО "Т-Плюс" за теплоэнергию и горячую воду за декабрь 2023г. Оплата после перерегистрации муниципального контракта и открытия кассового плана в январе 2024г.</w:t>
            </w:r>
          </w:p>
          <w:p w14:paraId="01637DB8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proofErr w:type="spellStart"/>
            <w:r w:rsidRPr="00B50A93">
              <w:rPr>
                <w:color w:val="000000"/>
                <w:sz w:val="28"/>
                <w:szCs w:val="28"/>
              </w:rPr>
              <w:t>Справочно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отражены резервы предстоящих расходов в общей сумме в сумме 11 716 213,82., в том числе:</w:t>
            </w:r>
          </w:p>
          <w:p w14:paraId="60DABAA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КОСГУ 211   - 9 127 648,30 руб.;</w:t>
            </w:r>
          </w:p>
          <w:p w14:paraId="4236BAE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КОСГУ 213   - 2 588 565,52 руб.</w:t>
            </w:r>
          </w:p>
          <w:p w14:paraId="48AE3F36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Просроченная кредиторская задолженность, нереальная к взысканию дебиторская задолженность по бюджетной деятельности на 01 января 2024 года отсутствует.</w:t>
            </w:r>
          </w:p>
          <w:p w14:paraId="167A80D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«Сведения о принятых и неисполненных обязательствах получателя бюджетных средств» ф. 0503175:</w:t>
            </w:r>
          </w:p>
          <w:p w14:paraId="74AD3927" w14:textId="1A21CC1B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Счет</w:t>
            </w:r>
            <w:r w:rsidR="004B6237">
              <w:rPr>
                <w:color w:val="000000"/>
                <w:sz w:val="28"/>
                <w:szCs w:val="28"/>
              </w:rPr>
              <w:t xml:space="preserve"> </w:t>
            </w:r>
            <w:r w:rsidRPr="00B50A93">
              <w:rPr>
                <w:color w:val="000000"/>
                <w:sz w:val="28"/>
                <w:szCs w:val="28"/>
              </w:rPr>
              <w:t>50211000 "Принятые обязательства" – 2 007 093,47 руб., неисполненные обязательства - включают в себя кредиторскую задолженность декабря 2023г. и остатки по муниципальным контрактам, образовавшиеся за счет снижения объема потребленных услуг (работ), из них по муниципальным контрактам превышающим 100 тыс. руб.:</w:t>
            </w:r>
          </w:p>
          <w:p w14:paraId="34767BD7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- 109 641,05 руб. – неисполненные остатки по экономии по заработной плате, в связи с больничными листами сотрудников;</w:t>
            </w:r>
          </w:p>
          <w:p w14:paraId="4079A58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- 336 259,27 руб. – неисполненные остатки по начислениям на выплаты по оплате труда, в связи с больничными листами сотрудников;</w:t>
            </w:r>
          </w:p>
          <w:p w14:paraId="15CFC4E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- 152 384,24 руб. – неисполненные остатки по муниципальному контракту за фактически оказанные услуги почтовой связи с АО «Почта России»;</w:t>
            </w:r>
          </w:p>
          <w:p w14:paraId="5EC250E6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- 904 734,37 руб. – неисполненные остатки по муниципальному контракту за электроэнергию заключенных с Тольяттинским отделением ПАО «Самараэнерго» в соответствии с фактическим потреблением.</w:t>
            </w:r>
          </w:p>
          <w:p w14:paraId="5FA6661D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50212000 "Принятые денежные обязательства" - 54 136,48 руб., в том числе: </w:t>
            </w:r>
          </w:p>
          <w:p w14:paraId="0DA84938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- 54 136,48 руб. - кредиторская задолженность за декабрь 2023 года по муниципальному контракту с ПАО "Т-Плюс" - оплата будет произведена после перерегистрации муниципального контракта.</w:t>
            </w:r>
          </w:p>
          <w:p w14:paraId="0C0DA54A" w14:textId="3B3FAFB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Экономия по результатам закупок, проведенных конкурентным способом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в</w:t>
            </w:r>
            <w:r w:rsidR="004B6237">
              <w:rPr>
                <w:color w:val="000000"/>
                <w:sz w:val="28"/>
                <w:szCs w:val="28"/>
              </w:rPr>
              <w:t xml:space="preserve"> </w:t>
            </w:r>
            <w:r w:rsidRPr="00B50A93">
              <w:rPr>
                <w:color w:val="000000"/>
                <w:sz w:val="28"/>
                <w:szCs w:val="28"/>
              </w:rPr>
              <w:t>2023</w:t>
            </w:r>
            <w:r w:rsidR="004B6237">
              <w:rPr>
                <w:color w:val="000000"/>
                <w:sz w:val="28"/>
                <w:szCs w:val="28"/>
              </w:rPr>
              <w:t xml:space="preserve"> </w:t>
            </w:r>
            <w:r w:rsidRPr="00B50A93">
              <w:rPr>
                <w:color w:val="000000"/>
                <w:sz w:val="28"/>
                <w:szCs w:val="28"/>
              </w:rPr>
              <w:t>году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составила 4 965 341,37 руб.</w:t>
            </w:r>
          </w:p>
          <w:p w14:paraId="028AC75A" w14:textId="4DEE49D8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lastRenderedPageBreak/>
              <w:t>        Отклонение Сумма экономии в результате проведения конкурсных процедур больше или меньше разницы граф 2 и 3 обусловлена следующими причинами: перерегистрация муниципальных контрактов для уточнения КБК, увеличением/уменьшением цены контракта в пределах 10% согласно условиям муниципального контракта.</w:t>
            </w:r>
          </w:p>
          <w:p w14:paraId="210E7567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«Сведения об остатках денежных средств на счетах получателя бюджетных средств» ф. 0503178:</w:t>
            </w:r>
            <w:r w:rsidRPr="00B50A93">
              <w:rPr>
                <w:color w:val="000000"/>
                <w:sz w:val="28"/>
                <w:szCs w:val="28"/>
              </w:rPr>
              <w:t> </w:t>
            </w:r>
          </w:p>
          <w:p w14:paraId="42BAC29E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Остаток по счету 0201 11 000 «Денежные средства учреждения на лицевых счетах в органе казначейства» составляет 1 122 884,83 руб. - средства во временном распоряжении. Возврат средств (обеспечения) будет произведен после выполнения работ (оказания услуг) согласно условиям заключенных муниципальных контрактов.</w:t>
            </w:r>
          </w:p>
          <w:p w14:paraId="11C8FBD9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«Отчет о финансовых результатах деятельности» ф. 0503121:</w:t>
            </w:r>
          </w:p>
          <w:p w14:paraId="66725C24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Стр. 090 по счету 040110170 "Доходы от операций с активами" 72 118,85 руб., из них:</w:t>
            </w:r>
          </w:p>
          <w:p w14:paraId="4C45C6A4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КОСГУ 172 на сумму -87 495,77 руб.</w:t>
            </w:r>
          </w:p>
          <w:p w14:paraId="2BE25B3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- 46 668,68 руб. восстановлены основные средства (мебель) с забалансового счета 21 для передачи МКОУ ДПО РЦ по постановлению от 14.07.2023 №2265-п/1.: </w:t>
            </w:r>
          </w:p>
          <w:p w14:paraId="25D149EF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- 37 826,94 руб. восстановлены материальные запасы, выданные в личное пользование сотрудникам, с забалансового счета 27 для передачи между материально-ответственными лицами МКУ 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г.о.Тольятти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 xml:space="preserve"> «ЦХТО».</w:t>
            </w:r>
          </w:p>
          <w:p w14:paraId="690E1536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КОСГУ 173 на сумму -15 376,77 руб.</w:t>
            </w:r>
          </w:p>
          <w:p w14:paraId="5C50AC15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-14 376,77руб. списание безнадежной задолженности ООО «ТПК САМАРАСПЕЦ» по исполнительному листу от 25.02.2021г. ФС №034165694 по делу от 11.02.2021г. А55-33293/2020;</w:t>
            </w:r>
          </w:p>
          <w:p w14:paraId="1DE677F3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- 1 000,00 руб. списании неустойки (штрафа, пени) ООО «АКВИЛОН» по МК 0842300004023000061 от 03.04.2023 на оказание услуг по техническому обслуживанию и ремонту кондиционеров, приказ от 13.06.2023 №109. Приказ от 13.06.2023 №109</w:t>
            </w:r>
          </w:p>
          <w:p w14:paraId="2D946258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Стр. 100 по счету 040110180 "Прочие доходы" – 12 191 000,00 руб., из них:</w:t>
            </w:r>
          </w:p>
          <w:p w14:paraId="308DA53C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 по счету 40110182   отражается признание отложенных доходов от предоставления права пользования автотранспортных средств от организации на сумму 8 176 000,00руб. (получены автомобили по договору безвозмездного пользования от АВТОВАЗа);  </w:t>
            </w:r>
          </w:p>
          <w:p w14:paraId="4508AB6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 по счету 40110187 отражается признание отложенных доходов от предоставления права пользования автотранспортных средств от иных физических лиц на сумму 4 </w:t>
            </w:r>
            <w:r w:rsidRPr="00B50A93">
              <w:rPr>
                <w:color w:val="000000"/>
                <w:sz w:val="28"/>
                <w:szCs w:val="28"/>
              </w:rPr>
              <w:lastRenderedPageBreak/>
              <w:t>015 000,00 руб. (получен автомобиль по договору безвозмездного пользования от физического лица – главы городского округа).</w:t>
            </w:r>
          </w:p>
          <w:p w14:paraId="78A4D952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Стр. 110 по счету 040110190 "Доходы от безвозмездных неденежных поступлений в сектор государственного управления" – 9 992 923,69 руб., из них:</w:t>
            </w:r>
          </w:p>
          <w:p w14:paraId="67321A7E" w14:textId="4750492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- 814 786,09 руб. получен бензин от АО «АВТОВАЗ» (договор от 09.10.2020г. № 944132);</w:t>
            </w:r>
          </w:p>
          <w:p w14:paraId="082F4FC9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- 9 178 137,60 руб. – получены безвозмездное поступление основных средств, полученных на основании постановлений.</w:t>
            </w:r>
          </w:p>
          <w:p w14:paraId="1A1476BD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КОСГУ 271 – 5 868 749,00 руб.- отражены расходы на амортизацию: отражена начисленная амортизация поступившего имущества (системные блоки, внешний, стеллажи металлические, светильники настольные, стул для посетителей, контейнеры для ТКО и др.).</w:t>
            </w:r>
          </w:p>
          <w:p w14:paraId="1E1BE44A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КОСГУ 272 – 17 874 716,36 руб. -отражена сумма материальных запасов, отпущенных для содержания имущества в надлежащем состоянии (электрические лампочки, мыло, средства для уборки, дезинфекции, туалетные принадлежности и др.), а также для производственного процесса (</w:t>
            </w:r>
            <w:proofErr w:type="spellStart"/>
            <w:r w:rsidRPr="00B50A93">
              <w:rPr>
                <w:color w:val="000000"/>
                <w:sz w:val="28"/>
                <w:szCs w:val="28"/>
              </w:rPr>
              <w:t>гсм</w:t>
            </w:r>
            <w:proofErr w:type="spellEnd"/>
            <w:r w:rsidRPr="00B50A93">
              <w:rPr>
                <w:color w:val="000000"/>
                <w:sz w:val="28"/>
                <w:szCs w:val="28"/>
              </w:rPr>
              <w:t>, бумага, канцтовары, спецодежда, короба архивные и др.).</w:t>
            </w:r>
          </w:p>
          <w:p w14:paraId="2F11A421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КОСГУ 281 – 49 668,68 руб.- отражена сумма восстановленных основных средств с забалансового счета для безвозмездной передачи.</w:t>
            </w:r>
          </w:p>
          <w:p w14:paraId="52D25723" w14:textId="77777777" w:rsidR="00142841" w:rsidRPr="00B50A93" w:rsidRDefault="00142841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Стр. 560 по Счет 401 60 000 «Резервы предстоящих расходов» учтено увеличение резерва предстоящих расходов для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на общую сумму 167 088,48 руб.</w:t>
            </w:r>
          </w:p>
          <w:p w14:paraId="492DDD31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b/>
                <w:bCs/>
                <w:color w:val="000000"/>
                <w:sz w:val="28"/>
                <w:szCs w:val="28"/>
              </w:rPr>
      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ф. 0503130:</w:t>
            </w:r>
          </w:p>
          <w:p w14:paraId="7F8B8C3F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-  по стр. 240 "Финансовые вложения " и в форме 0503171 "Сведения о финансовых вложениях получателя бюджетных средств, администратора источников финансирования дефицита бюджета" отражена балансовая стоимость особо-ценного имущества на конец отчетного периода   - 630 714,00 руб. по подведомственному учреждению МБУ "Новости Тольятти". В МБУ "Новости Тольятти" указанное имущество числится на счете 210 06 000 "Расчеты с учредителем" по стр. 480 ф.0503730.</w:t>
            </w:r>
          </w:p>
          <w:p w14:paraId="279038DC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 xml:space="preserve">- по стр. 201 "Денежные средства учреждения на лицевых счетах"   учитываются денежные средства, поступившие во временное распоряжение на обеспечение исполнения муниципальных контрактов и заявок на участие в конкурсах по проведению закупок. На начало    года остаток денежных средств      составил 718 </w:t>
            </w:r>
            <w:r w:rsidRPr="00B50A93">
              <w:rPr>
                <w:color w:val="000000"/>
                <w:sz w:val="28"/>
                <w:szCs w:val="28"/>
              </w:rPr>
              <w:lastRenderedPageBreak/>
              <w:t>485,19 руб., поступило средств на сумму 1 179 372,21 руб., выбыло на сумму 774 972,57 руб., остаток на конец года 1 122 884,83 руб.</w:t>
            </w:r>
          </w:p>
          <w:p w14:paraId="6DE14488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- по стр. 207 " Денежные средства учреждения в кассе", учитываются денежные документы: почтовые марки, маркированные конверты. На начало года наличие денежных документов на сумму 1 827 654,50 руб., поступило на сумму 5 791 790,79 руб., выбыло на сумму 5 313 660,73 руб., остаток на конец года на сумму 2 305 784,56 руб. </w:t>
            </w:r>
          </w:p>
          <w:p w14:paraId="760F19BA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- по стр. 520 «Резервы предстоящих расходов» - 2 676 526,97 руб., учитываются средства для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страхование.  </w:t>
            </w:r>
          </w:p>
          <w:p w14:paraId="3C5AEC62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Забалансовые счета:</w:t>
            </w:r>
          </w:p>
          <w:p w14:paraId="072B302A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з 01. Остаток на 01.01.2024г.  – 34 717,70 руб. – в течение года передано движимое и недвижимое имущество, в связи с окончанием срока безвозмездного пользования.</w:t>
            </w:r>
          </w:p>
          <w:p w14:paraId="1EE37674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з 02. Остаток на 01.01.2024г. – 417,00 руб. - списаны, но не утилизированы основные средства, пришедшие в негодность.</w:t>
            </w:r>
          </w:p>
          <w:p w14:paraId="174406A7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з 03. Остаток на 01.01.2024 г. - 188,00 руб. – учитываются принятые топливные карты по муниципальному контракту на поставку ГСМ и метана.</w:t>
            </w:r>
          </w:p>
          <w:p w14:paraId="27BFE539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з 07.  Остаток на 01.01.2024г.  – 3 057,60 руб. – в течение года в связи с проведением официальных мероприятий, списывались сувениры, поздравительные бланки, открытки.</w:t>
            </w:r>
          </w:p>
          <w:p w14:paraId="07C98A29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з 09.  Остаток на 01.01.2024г. – 2 712 664,18 руб. – учитываются выданные взамен изношенных запасные части к транспортным средствам.</w:t>
            </w:r>
          </w:p>
          <w:p w14:paraId="59C60130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з 10. Остаток на 01.01.2024г. – 1 549 989,78 руб. - учитывается банковская гарантия, полученная в качестве обеспечения исполнения муниципальных контрактов. </w:t>
            </w:r>
          </w:p>
          <w:p w14:paraId="7FA827DD" w14:textId="3D66A587" w:rsidR="003F3480" w:rsidRDefault="003F3480" w:rsidP="00B50A93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Счет з 21. Остаток на 01.01.2024г – 17 087 822,18 руб. - учитываются основные средства в эксплуатации стоимостью до 10000 руб.</w:t>
            </w:r>
          </w:p>
          <w:p w14:paraId="675A2E60" w14:textId="77777777" w:rsidR="00B50A93" w:rsidRPr="00B50A93" w:rsidRDefault="00B50A93" w:rsidP="00B50A93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</w:p>
          <w:p w14:paraId="3E39247F" w14:textId="77777777" w:rsidR="003F3480" w:rsidRPr="00B50A93" w:rsidRDefault="003F3480" w:rsidP="00B50A9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50A93">
              <w:rPr>
                <w:b/>
                <w:bCs/>
                <w:color w:val="000000"/>
                <w:sz w:val="32"/>
                <w:szCs w:val="32"/>
              </w:rPr>
              <w:t>Раздел 5 "Прочие вопросы деятельности субъекта бюджетной отчетности"</w:t>
            </w:r>
          </w:p>
          <w:p w14:paraId="598BC309" w14:textId="78A7C9A2" w:rsidR="003F3480" w:rsidRPr="00B50A93" w:rsidRDefault="00B50A93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3F3480" w:rsidRPr="00B50A93">
              <w:rPr>
                <w:color w:val="000000"/>
                <w:sz w:val="28"/>
                <w:szCs w:val="28"/>
              </w:rPr>
              <w:t>Перед составлением годовой бухгалтерской отчетности, каждое учреждение подведомственное организационному управлению провело внутреннюю проверку форм отчетности.</w:t>
            </w:r>
          </w:p>
          <w:p w14:paraId="61C627DA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lastRenderedPageBreak/>
              <w:t xml:space="preserve">        Цель внутренней проверки – установление достоверности годовой отчетности, подтверждение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</w:t>
            </w:r>
            <w:proofErr w:type="gramStart"/>
            <w:r w:rsidRPr="00B50A93">
              <w:rPr>
                <w:color w:val="000000"/>
                <w:sz w:val="28"/>
                <w:szCs w:val="28"/>
              </w:rPr>
              <w:t>отчетности  нормам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Инструкции № 191н.</w:t>
            </w:r>
          </w:p>
          <w:p w14:paraId="09F3D281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Основными задачами проведения внутренней проверки являлось:</w:t>
            </w:r>
          </w:p>
          <w:p w14:paraId="69DF5F73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•        проверка соблюдения требований к порядку составления в части полноты и </w:t>
            </w:r>
          </w:p>
          <w:p w14:paraId="395DAEA5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достоверности годовой отчетности;</w:t>
            </w:r>
          </w:p>
          <w:p w14:paraId="5A01D10C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•   выборочная проверка соблюдения требований законодательства по организации и ведению бюджетного (бухгалтерского) учета.</w:t>
            </w:r>
          </w:p>
          <w:p w14:paraId="12BDA2C9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  В ходе контрольных мероприятий использовался выборочный метод проверки.     </w:t>
            </w:r>
          </w:p>
          <w:p w14:paraId="101AC24D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  Заключения по внутренним проверкам от учреждений:</w:t>
            </w:r>
          </w:p>
          <w:p w14:paraId="6D9CD02C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 - годовая бюджетная отчетность учреждения за 2023 год является достоверной и соответствует требованиям нормативных правовых актов, регулирующих составление и представление бюджетной отчетности.        </w:t>
            </w:r>
          </w:p>
          <w:p w14:paraId="33EB1DC6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color w:val="000000"/>
                <w:sz w:val="28"/>
                <w:szCs w:val="28"/>
              </w:rPr>
              <w:t>         - при сверке данных годовой бюджетной отчетности за 2023 год по учреждению с данными регистров бухгалтерского учета, отклонений не установлено.</w:t>
            </w:r>
          </w:p>
          <w:p w14:paraId="5DE1FD16" w14:textId="77777777" w:rsidR="003F3480" w:rsidRPr="00B50A93" w:rsidRDefault="003F3480" w:rsidP="00B50A93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50A93">
              <w:rPr>
                <w:color w:val="000000"/>
                <w:sz w:val="28"/>
                <w:szCs w:val="28"/>
              </w:rPr>
              <w:t>В  составе</w:t>
            </w:r>
            <w:proofErr w:type="gramEnd"/>
            <w:r w:rsidRPr="00B50A93">
              <w:rPr>
                <w:color w:val="000000"/>
                <w:sz w:val="28"/>
                <w:szCs w:val="28"/>
              </w:rPr>
              <w:t xml:space="preserve"> отчетности не представлены предусмотренные инструкцией формы бюджетной отчетности, не имеющие числовых и иных значений: </w:t>
            </w:r>
          </w:p>
          <w:p w14:paraId="298A6BEF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 xml:space="preserve">ф. 0503128-НП "Отчет о бюджетных обязательствах (по национальным проектам)";  </w:t>
            </w:r>
          </w:p>
          <w:p w14:paraId="3E5B7D86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 xml:space="preserve">ф. 0503127-НП " 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(по национальным проектам)";  </w:t>
            </w:r>
          </w:p>
          <w:p w14:paraId="56EB6561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>ф. 0503172 "Сведения о государственном (муниципальном) долге, предоставленных бюджетных кредитах";</w:t>
            </w:r>
          </w:p>
          <w:p w14:paraId="581E488C" w14:textId="22945D5E" w:rsidR="002048E0" w:rsidRPr="00B50A93" w:rsidRDefault="002048E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>ф. 0503173 "</w:t>
            </w:r>
            <w:r w:rsidR="00C5221F" w:rsidRPr="00B50A93">
              <w:rPr>
                <w:sz w:val="28"/>
                <w:szCs w:val="28"/>
              </w:rPr>
              <w:t>Сведения об изменении остатков валюты баланса. Бюджетная деятельность</w:t>
            </w:r>
            <w:r w:rsidRPr="00B50A93">
              <w:rPr>
                <w:sz w:val="28"/>
                <w:szCs w:val="28"/>
              </w:rPr>
              <w:t>";</w:t>
            </w:r>
          </w:p>
          <w:p w14:paraId="1F9D2311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>ф. 0503174 "Сведения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капитале";</w:t>
            </w:r>
          </w:p>
          <w:p w14:paraId="6A56FB12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>ф. 0503184 "Справка о суммах консолидируемых поступлений, подлежащих зачислению на счет бюджета";</w:t>
            </w:r>
          </w:p>
          <w:p w14:paraId="25EACEB6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lastRenderedPageBreak/>
              <w:t>•</w:t>
            </w:r>
            <w:r w:rsidRPr="00B50A93">
              <w:rPr>
                <w:sz w:val="28"/>
                <w:szCs w:val="28"/>
              </w:rPr>
              <w:tab/>
              <w:t>ф. 0503190 "Сведения о вложениях в объекты недвижимого имущества, объектах незавершенного строительства";</w:t>
            </w:r>
          </w:p>
          <w:p w14:paraId="3C08E88B" w14:textId="33AD09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>ф. 0503</w:t>
            </w:r>
            <w:r w:rsidR="00FE21B8">
              <w:rPr>
                <w:sz w:val="28"/>
                <w:szCs w:val="28"/>
              </w:rPr>
              <w:t>167</w:t>
            </w:r>
            <w:r w:rsidRPr="00B50A93">
              <w:rPr>
                <w:sz w:val="28"/>
                <w:szCs w:val="28"/>
              </w:rPr>
              <w:t xml:space="preserve"> "</w:t>
            </w:r>
            <w:r w:rsidR="00FE21B8" w:rsidRPr="00FE21B8">
              <w:rPr>
                <w:sz w:val="28"/>
                <w:szCs w:val="28"/>
              </w:rPr>
              <w:t>Сведения о целевых иностранных кредитах</w:t>
            </w:r>
            <w:r w:rsidRPr="00B50A93">
              <w:rPr>
                <w:sz w:val="28"/>
                <w:szCs w:val="28"/>
              </w:rPr>
              <w:t>";</w:t>
            </w:r>
          </w:p>
          <w:p w14:paraId="3CCE00D3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>ф. 0503296 "Сведения об исполнении судебных решений по денежным обязательствам бюджета";</w:t>
            </w:r>
          </w:p>
          <w:p w14:paraId="460280CF" w14:textId="57EF4443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•</w:t>
            </w:r>
            <w:r w:rsidRPr="00B50A93">
              <w:rPr>
                <w:sz w:val="28"/>
                <w:szCs w:val="28"/>
              </w:rPr>
              <w:tab/>
              <w:t>ф. 0503110Р "Расшифровка показателей, отраженных в Справке по заключению счетов бюджетного учета отчетного финансового года (</w:t>
            </w:r>
            <w:proofErr w:type="gramStart"/>
            <w:r w:rsidRPr="00B50A93">
              <w:rPr>
                <w:sz w:val="28"/>
                <w:szCs w:val="28"/>
              </w:rPr>
              <w:t>ф.0503110)(</w:t>
            </w:r>
            <w:proofErr w:type="spellStart"/>
            <w:proofErr w:type="gramEnd"/>
            <w:r w:rsidRPr="00B50A93">
              <w:rPr>
                <w:sz w:val="28"/>
                <w:szCs w:val="28"/>
              </w:rPr>
              <w:t>справочно</w:t>
            </w:r>
            <w:proofErr w:type="spellEnd"/>
            <w:r w:rsidRPr="00B50A93">
              <w:rPr>
                <w:sz w:val="28"/>
                <w:szCs w:val="28"/>
              </w:rPr>
              <w:t>)"</w:t>
            </w:r>
            <w:r w:rsidR="00B50A93">
              <w:rPr>
                <w:sz w:val="28"/>
                <w:szCs w:val="28"/>
              </w:rPr>
              <w:t>;</w:t>
            </w:r>
          </w:p>
          <w:p w14:paraId="69145D17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Таблица № 6 "Сведения о проведении инвентаризации";</w:t>
            </w:r>
          </w:p>
          <w:p w14:paraId="484CCC91" w14:textId="77777777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Таблица № 14 «Анализ показателей отчетности субъекта бюджетной отчетности»;</w:t>
            </w:r>
          </w:p>
          <w:p w14:paraId="4550C186" w14:textId="0A57633E" w:rsidR="003F3480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Таблица № 15 «Причины увеличения просроченной задолженности»</w:t>
            </w:r>
            <w:r w:rsidR="00FE21B8">
              <w:rPr>
                <w:sz w:val="28"/>
                <w:szCs w:val="28"/>
              </w:rPr>
              <w:t>.</w:t>
            </w:r>
          </w:p>
          <w:p w14:paraId="636C7DB1" w14:textId="0E3D47BE" w:rsidR="003F3480" w:rsidRPr="00B50A93" w:rsidRDefault="004B6237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F3480" w:rsidRPr="00B50A93">
              <w:rPr>
                <w:sz w:val="28"/>
                <w:szCs w:val="28"/>
              </w:rPr>
              <w:t>КСП отметила нарушения, что в ходе внешней проверки отчетности ГАБС за 2022 год:</w:t>
            </w:r>
          </w:p>
          <w:p w14:paraId="541EEC35" w14:textId="6A59B4C1" w:rsidR="003F3480" w:rsidRPr="00B50A93" w:rsidRDefault="004B6237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F3480" w:rsidRPr="00B50A93">
              <w:rPr>
                <w:sz w:val="28"/>
                <w:szCs w:val="28"/>
              </w:rPr>
              <w:t>В нарушение п.163 Инструкции № 191н в гр.9 раздела 1 «Доходы бюджета» формы 0503164 «Сведения об исполнении бюджета» не приведен факторный анализ отклонения фактического исполнения доходов бюджета от прогноза поступлений доходов в бюджет. (В целях устранения нарушения факторный анализ отклонения фактического исполнения доходов бюджета от плановых поступлений направлен письмом в ДФ).</w:t>
            </w:r>
          </w:p>
          <w:p w14:paraId="41587F3A" w14:textId="55A48BA9" w:rsidR="003F3480" w:rsidRPr="00B50A93" w:rsidRDefault="004B6237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F3480" w:rsidRPr="00B50A93">
              <w:rPr>
                <w:sz w:val="28"/>
                <w:szCs w:val="28"/>
              </w:rPr>
              <w:t xml:space="preserve">На основании данных формы 0503169, просроченная дебиторская и кредиторская задолженность по состоянию на 01.01.2023 отсутствует. При этом, в разделе 4 Пояснительной записки указано, что на основании исполнительного производства №4449/17/63038-ИПот03.04.2017 числится дебиторская задолженность в размере 232,4 тыс. руб., погашение которой не представляется возможным ввиду не определения местонахождения виновного лица до настоящего времени. В соответствии с письмом Минфина России от 24.05.2019 № 02-09-07/37960 неисполненная дебиторская задолженность при наступлении даты ее исполнения считается просроченной задолженностью. Таким образом, в случае если в срок, установленный для погашения задолженности, в том числе по исполнительному документу, задолженность не погашена, она считается просроченной. При отсутствии </w:t>
            </w:r>
            <w:proofErr w:type="spellStart"/>
            <w:r w:rsidR="003F3480" w:rsidRPr="00B50A93">
              <w:rPr>
                <w:sz w:val="28"/>
                <w:szCs w:val="28"/>
              </w:rPr>
              <w:t>пресекательных</w:t>
            </w:r>
            <w:proofErr w:type="spellEnd"/>
            <w:r w:rsidR="003F3480" w:rsidRPr="00B50A93">
              <w:rPr>
                <w:sz w:val="28"/>
                <w:szCs w:val="28"/>
              </w:rPr>
              <w:t xml:space="preserve"> сроков для исполнения решения суда в случае возбуждения исполнительного производства датой исполнения задолженности считается дата вступления решения суда в законную силу. (В целях устранения нарушения пояснения направлены письмом в ДФ).</w:t>
            </w:r>
          </w:p>
          <w:p w14:paraId="7B15A2F7" w14:textId="2B61658C" w:rsidR="003F3480" w:rsidRPr="00B50A93" w:rsidRDefault="004B6237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F3480" w:rsidRPr="00B50A93">
              <w:rPr>
                <w:sz w:val="28"/>
                <w:szCs w:val="28"/>
              </w:rPr>
              <w:t xml:space="preserve">В нарушение п.170.2 Инструкции № 191н, Письма Департамента финансов, показатели раздела 1 формы 0503175 «Сведения о принятых и неисполненных обязательствах получателя бюджетных средств» не соответствуют гр.11 формы </w:t>
            </w:r>
            <w:r w:rsidR="003F3480" w:rsidRPr="00B50A93">
              <w:rPr>
                <w:sz w:val="28"/>
                <w:szCs w:val="28"/>
              </w:rPr>
              <w:lastRenderedPageBreak/>
              <w:t>0503128 «Отчет о бюджетных обязательствах». (В целях устранения нарушения форма приведена в соответствие).</w:t>
            </w:r>
          </w:p>
          <w:p w14:paraId="4B60B350" w14:textId="57CBF474" w:rsidR="004B6237" w:rsidRPr="00B50A93" w:rsidRDefault="003F3480" w:rsidP="00B50A93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B50A93">
              <w:rPr>
                <w:sz w:val="28"/>
                <w:szCs w:val="28"/>
              </w:rPr>
              <w:t>Все замечания КСП учтены для дальнейшей работы.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42841" w:rsidRPr="00B50A93" w14:paraId="70032E92" w14:textId="77777777" w:rsidTr="00CF5D5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6DFBCD63" w14:textId="77777777" w:rsidR="00142841" w:rsidRPr="00B50A93" w:rsidRDefault="00142841" w:rsidP="00B50A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51E8E8D" w14:textId="696FAD79" w:rsidR="00142841" w:rsidRPr="00B50A93" w:rsidRDefault="00142841" w:rsidP="00B50A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841" w14:paraId="7F2F36E0" w14:textId="77777777" w:rsidTr="00B50A93">
        <w:trPr>
          <w:trHeight w:val="322"/>
        </w:trPr>
        <w:tc>
          <w:tcPr>
            <w:tcW w:w="103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07C1" w14:textId="2275BD73" w:rsidR="00142841" w:rsidRDefault="00142841" w:rsidP="00CF5D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841" w14:paraId="6690FBE2" w14:textId="77777777" w:rsidTr="00B50A93">
        <w:tc>
          <w:tcPr>
            <w:tcW w:w="24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1F51" w14:textId="77777777" w:rsidR="00142841" w:rsidRDefault="00142841" w:rsidP="00CF5D5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4EA6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298B" w14:textId="77777777" w:rsidR="00142841" w:rsidRDefault="00142841" w:rsidP="00CF5D5D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A145" w14:textId="77777777" w:rsidR="00142841" w:rsidRDefault="00142841" w:rsidP="00CF5D5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C3EF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88EE" w14:textId="77777777" w:rsidR="00142841" w:rsidRDefault="00142841" w:rsidP="00CF5D5D">
            <w:pPr>
              <w:spacing w:line="1" w:lineRule="auto"/>
            </w:pPr>
          </w:p>
        </w:tc>
      </w:tr>
    </w:tbl>
    <w:p w14:paraId="631BFCBE" w14:textId="77777777" w:rsidR="00142841" w:rsidRDefault="00142841" w:rsidP="00142841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142841" w14:paraId="491C0705" w14:textId="77777777" w:rsidTr="00CF5D5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142841" w14:paraId="1D162B48" w14:textId="77777777" w:rsidTr="00CF5D5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BF797" w14:textId="77777777" w:rsidR="00142841" w:rsidRDefault="00142841" w:rsidP="00CF5D5D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14:paraId="7687314F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A0D5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CC0C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142841" w14:paraId="585CE294" w14:textId="77777777" w:rsidTr="00CF5D5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19277" w14:textId="77777777" w:rsidR="00142841" w:rsidRDefault="00142841" w:rsidP="00CF5D5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Власов Владимир Александрович</w:t>
                  </w:r>
                </w:p>
              </w:tc>
            </w:tr>
          </w:tbl>
          <w:p w14:paraId="7E6D31A3" w14:textId="77777777" w:rsidR="00142841" w:rsidRDefault="00142841" w:rsidP="00CF5D5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2D4E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E32C" w14:textId="77777777" w:rsidR="00142841" w:rsidRDefault="00142841" w:rsidP="00CF5D5D">
            <w:pPr>
              <w:spacing w:line="1" w:lineRule="auto"/>
            </w:pPr>
          </w:p>
        </w:tc>
      </w:tr>
      <w:tr w:rsidR="00142841" w14:paraId="4A6A1C09" w14:textId="77777777" w:rsidTr="00CF5D5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245B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9338" w14:textId="77777777" w:rsidR="00142841" w:rsidRDefault="00142841" w:rsidP="00CF5D5D">
            <w:pPr>
              <w:pBdr>
                <w:top w:val="single" w:sz="6" w:space="0" w:color="000000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B537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F212" w14:textId="77777777" w:rsidR="00142841" w:rsidRDefault="00142841" w:rsidP="00CF5D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7660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38E8" w14:textId="77777777" w:rsidR="00142841" w:rsidRDefault="00142841" w:rsidP="00CF5D5D">
            <w:pPr>
              <w:spacing w:line="1" w:lineRule="auto"/>
            </w:pPr>
          </w:p>
        </w:tc>
      </w:tr>
      <w:tr w:rsidR="00142841" w14:paraId="3109FAE4" w14:textId="77777777" w:rsidTr="00CF5D5D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537E" w14:textId="77777777" w:rsidR="00142841" w:rsidRDefault="00142841" w:rsidP="00CF5D5D">
            <w:pPr>
              <w:spacing w:line="1" w:lineRule="auto"/>
            </w:pPr>
          </w:p>
        </w:tc>
      </w:tr>
      <w:tr w:rsidR="00142841" w14:paraId="6005125E" w14:textId="77777777" w:rsidTr="00CF5D5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C8CE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67B8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D25D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0F6D" w14:textId="77777777" w:rsidR="00142841" w:rsidRDefault="00142841" w:rsidP="00CF5D5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BA0B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EBA0" w14:textId="77777777" w:rsidR="00142841" w:rsidRDefault="00142841" w:rsidP="00CF5D5D">
            <w:pPr>
              <w:spacing w:line="1" w:lineRule="auto"/>
            </w:pPr>
          </w:p>
        </w:tc>
      </w:tr>
      <w:tr w:rsidR="00142841" w14:paraId="0060793F" w14:textId="77777777" w:rsidTr="00CF5D5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142841" w14:paraId="082CFD5F" w14:textId="77777777" w:rsidTr="00CF5D5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E97A9" w14:textId="77777777" w:rsidR="00142841" w:rsidRDefault="00142841" w:rsidP="00CF5D5D">
                  <w:r>
                    <w:rPr>
                      <w:color w:val="000000"/>
                      <w:sz w:val="28"/>
                      <w:szCs w:val="28"/>
                    </w:rPr>
                    <w:t>Руководитель планово-экономической службы</w:t>
                  </w:r>
                </w:p>
              </w:tc>
            </w:tr>
          </w:tbl>
          <w:p w14:paraId="4100EA39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55D6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D75E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142841" w14:paraId="53F4BF1E" w14:textId="77777777" w:rsidTr="00CF5D5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E2F2D" w14:textId="77777777" w:rsidR="00142841" w:rsidRDefault="00142841" w:rsidP="00CF5D5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Ерастова Светлана Васильевна</w:t>
                  </w:r>
                </w:p>
              </w:tc>
            </w:tr>
          </w:tbl>
          <w:p w14:paraId="6F54BFC8" w14:textId="77777777" w:rsidR="00142841" w:rsidRDefault="00142841" w:rsidP="00CF5D5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4C5A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D35D" w14:textId="77777777" w:rsidR="00142841" w:rsidRDefault="00142841" w:rsidP="00CF5D5D">
            <w:pPr>
              <w:spacing w:line="1" w:lineRule="auto"/>
            </w:pPr>
          </w:p>
        </w:tc>
      </w:tr>
      <w:tr w:rsidR="00142841" w14:paraId="1F30642B" w14:textId="77777777" w:rsidTr="00CF5D5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0CED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ABEE" w14:textId="77777777" w:rsidR="00142841" w:rsidRDefault="00142841" w:rsidP="00CF5D5D">
            <w:pPr>
              <w:pBdr>
                <w:top w:val="single" w:sz="6" w:space="0" w:color="000000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8468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8FF6" w14:textId="77777777" w:rsidR="00142841" w:rsidRDefault="00142841" w:rsidP="00CF5D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97EC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247B" w14:textId="77777777" w:rsidR="00142841" w:rsidRDefault="00142841" w:rsidP="00CF5D5D">
            <w:pPr>
              <w:spacing w:line="1" w:lineRule="auto"/>
            </w:pPr>
          </w:p>
        </w:tc>
      </w:tr>
      <w:tr w:rsidR="00142841" w14:paraId="1D2450EF" w14:textId="77777777" w:rsidTr="00CF5D5D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852A" w14:textId="77777777" w:rsidR="00142841" w:rsidRDefault="00142841" w:rsidP="00CF5D5D">
            <w:pPr>
              <w:spacing w:line="1" w:lineRule="auto"/>
            </w:pPr>
          </w:p>
        </w:tc>
      </w:tr>
      <w:tr w:rsidR="00142841" w14:paraId="20F302E6" w14:textId="77777777" w:rsidTr="00CF5D5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AEE7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91BD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AD85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8116" w14:textId="77777777" w:rsidR="00142841" w:rsidRDefault="00142841" w:rsidP="00CF5D5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048E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AB14" w14:textId="77777777" w:rsidR="00142841" w:rsidRDefault="00142841" w:rsidP="00CF5D5D">
            <w:pPr>
              <w:spacing w:line="1" w:lineRule="auto"/>
            </w:pPr>
          </w:p>
        </w:tc>
      </w:tr>
      <w:tr w:rsidR="00142841" w14:paraId="441C16F2" w14:textId="77777777" w:rsidTr="00CF5D5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142841" w14:paraId="4088B933" w14:textId="77777777" w:rsidTr="00CF5D5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2E2EF" w14:textId="77777777" w:rsidR="00142841" w:rsidRDefault="00142841" w:rsidP="00CF5D5D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5835B337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2F15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F3E7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142841" w14:paraId="1CD4E1B4" w14:textId="77777777" w:rsidTr="00CF5D5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C8C08" w14:textId="77777777" w:rsidR="00142841" w:rsidRDefault="00142841" w:rsidP="00CF5D5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Ерастова Светлана Васильевна</w:t>
                  </w:r>
                </w:p>
              </w:tc>
            </w:tr>
          </w:tbl>
          <w:p w14:paraId="2DE38537" w14:textId="77777777" w:rsidR="00142841" w:rsidRDefault="00142841" w:rsidP="00CF5D5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6C1F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8C45" w14:textId="77777777" w:rsidR="00142841" w:rsidRDefault="00142841" w:rsidP="00CF5D5D">
            <w:pPr>
              <w:spacing w:line="1" w:lineRule="auto"/>
            </w:pPr>
          </w:p>
        </w:tc>
      </w:tr>
      <w:tr w:rsidR="00142841" w14:paraId="7E6D5821" w14:textId="77777777" w:rsidTr="00CF5D5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20A1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6460" w14:textId="77777777" w:rsidR="00142841" w:rsidRDefault="00142841" w:rsidP="00CF5D5D">
            <w:pPr>
              <w:pBdr>
                <w:top w:val="single" w:sz="6" w:space="0" w:color="000000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B74D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EB8D" w14:textId="77777777" w:rsidR="00142841" w:rsidRDefault="00142841" w:rsidP="00CF5D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4D40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5F9A" w14:textId="77777777" w:rsidR="00142841" w:rsidRDefault="00142841" w:rsidP="00CF5D5D">
            <w:pPr>
              <w:spacing w:line="1" w:lineRule="auto"/>
            </w:pPr>
          </w:p>
        </w:tc>
      </w:tr>
      <w:tr w:rsidR="00142841" w14:paraId="407F69BD" w14:textId="77777777" w:rsidTr="00CF5D5D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EB3D" w14:textId="77777777" w:rsidR="00142841" w:rsidRDefault="00142841" w:rsidP="00CF5D5D">
            <w:pPr>
              <w:spacing w:line="1" w:lineRule="auto"/>
            </w:pPr>
          </w:p>
        </w:tc>
      </w:tr>
      <w:tr w:rsidR="00142841" w14:paraId="2DAC4E7C" w14:textId="77777777" w:rsidTr="00CF5D5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44AF" w14:textId="77777777" w:rsidR="00142841" w:rsidRDefault="00142841" w:rsidP="00CF5D5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E34A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4F25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204D" w14:textId="77777777" w:rsidR="00142841" w:rsidRDefault="00142841" w:rsidP="00CF5D5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E624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C774" w14:textId="77777777" w:rsidR="00142841" w:rsidRDefault="00142841" w:rsidP="00CF5D5D">
            <w:pPr>
              <w:spacing w:line="1" w:lineRule="auto"/>
            </w:pPr>
          </w:p>
        </w:tc>
      </w:tr>
      <w:tr w:rsidR="00142841" w14:paraId="731364F9" w14:textId="77777777" w:rsidTr="00CF5D5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BE5E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F563" w14:textId="77777777" w:rsidR="00142841" w:rsidRDefault="00142841" w:rsidP="00CF5D5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BD9E" w14:textId="77777777" w:rsidR="00142841" w:rsidRDefault="00142841" w:rsidP="00CF5D5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2A65" w14:textId="77777777" w:rsidR="00142841" w:rsidRDefault="00142841" w:rsidP="00CF5D5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2FEC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324B" w14:textId="77777777" w:rsidR="00142841" w:rsidRDefault="00142841" w:rsidP="00CF5D5D">
            <w:pPr>
              <w:spacing w:line="1" w:lineRule="auto"/>
            </w:pPr>
          </w:p>
        </w:tc>
      </w:tr>
      <w:tr w:rsidR="00142841" w14:paraId="64D48D7F" w14:textId="77777777" w:rsidTr="00CF5D5D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142841" w14:paraId="3A2FC698" w14:textId="77777777" w:rsidTr="00CF5D5D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59CDE" w14:textId="5095A75F" w:rsidR="00142841" w:rsidRDefault="00142841" w:rsidP="00CF5D5D"/>
              </w:tc>
            </w:tr>
          </w:tbl>
          <w:p w14:paraId="55E275CE" w14:textId="77777777" w:rsidR="00142841" w:rsidRDefault="00142841" w:rsidP="00CF5D5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4FB4" w14:textId="77777777" w:rsidR="00142841" w:rsidRDefault="00142841" w:rsidP="00CF5D5D">
            <w:pPr>
              <w:spacing w:line="1" w:lineRule="auto"/>
            </w:pPr>
          </w:p>
        </w:tc>
      </w:tr>
    </w:tbl>
    <w:p w14:paraId="49452A90" w14:textId="77777777" w:rsidR="00142841" w:rsidRDefault="00142841" w:rsidP="00142841">
      <w:pPr>
        <w:sectPr w:rsidR="00142841" w:rsidSect="00B60495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14:paraId="7D7E9F97" w14:textId="77777777" w:rsidR="00142841" w:rsidRDefault="00142841" w:rsidP="00142841">
      <w:pPr>
        <w:rPr>
          <w:vanish/>
        </w:rPr>
      </w:pPr>
      <w:bookmarkStart w:id="3" w:name="__bookmark_6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142841" w14:paraId="2F36D7BA" w14:textId="77777777" w:rsidTr="00CF5D5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D566B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3CBB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C77E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2CC1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A4E2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317E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7BE1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16B1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67BB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4C46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DD04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B626" w14:textId="77777777" w:rsidR="00142841" w:rsidRDefault="00142841" w:rsidP="00CF5D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A585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3D241F2F" w14:textId="77777777" w:rsidTr="00CF5D5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D083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088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188A" w14:textId="77777777" w:rsidR="00142841" w:rsidRDefault="00142841" w:rsidP="00CF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(решения) о бюджете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5601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06DDDBF2" w14:textId="77777777" w:rsidTr="00CF5D5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181B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88F8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5EAC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5B863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87E0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9B61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AD96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02B2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5123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89E7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22C3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3D07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F321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C4508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0A1D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5CBF0DB9" w14:textId="77777777" w:rsidTr="00CF5D5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8B7D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F334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05F5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4957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776E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9538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7285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FE74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9371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796CD0B3" w14:textId="77777777" w:rsidTr="00CF5D5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4A79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DCC0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6E97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8394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8DC0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AF14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722D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EF01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DE37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7C60E51C" w14:textId="77777777" w:rsidTr="00CF5D5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525F" w14:textId="77777777" w:rsidR="00142841" w:rsidRDefault="00142841" w:rsidP="00CF5D5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DD5B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Думы городского округа Тольятти Самарской области от 23.11.2022 N 1418 "О бюджете городского округа Тольятти на 2023 год и плановый период 2024 и 2025 годов" (в ред. Решений Думы городского округа Тольятти Самарской области от 08.02.2023 N 1470, от 22.02.2023 N 1483, от 15.03.2023 N 1495, от 31.03.2023 N 1521, от 12.04.2023 N 1522, от 07.06.2023 N 1572, от 05.07.2023 N 1611, от 16.08.2023 N 1625, от 18.10.2023 N 38, от 08.11.2023 N 58, от 22.11.2023 N 72, от 20.12.2023 N 92, от 22.12.2023 N 109).</w:t>
            </w:r>
            <w:r>
              <w:rPr>
                <w:color w:val="000000"/>
                <w:sz w:val="28"/>
                <w:szCs w:val="28"/>
              </w:rPr>
              <w:br/>
              <w:t xml:space="preserve">п.29. Установить, что получатели бюджетных средств, муниципальные бюджетные учреждения и муниципальные автономные учреждения городского округа при заключении договоров (муниципальных контрактов) на поставку товаров, выполнение работ, оказание услуг вправе предусматривать </w:t>
            </w:r>
            <w:r>
              <w:rPr>
                <w:color w:val="000000"/>
                <w:sz w:val="28"/>
                <w:szCs w:val="28"/>
              </w:rPr>
              <w:lastRenderedPageBreak/>
              <w:t>авансовые платежи:</w:t>
            </w:r>
            <w:r>
              <w:rPr>
                <w:color w:val="000000"/>
                <w:sz w:val="28"/>
                <w:szCs w:val="28"/>
              </w:rPr>
              <w:br/>
              <w:t xml:space="preserve">1) в размере 100 процентов суммы договора (муниципального контракта) - по договорам (муниципальным контрактам) об оказании услуг связи, о подписке на печатные или электронные издания и об их приобретении, об организации профессионального образования и дополнительного профессионального образования, об участии в семинарах, конференциях; о приобретении авиа-,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владельца опасного объекта, по договорам (муниципальным контрактам) о проведении государственной экспертизы проектной документации, включающей проверку достоверности определения сметной стоимости, и результатов инженерных изысканий, по договорам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 контрактам) на приобретение жилых помещений (квартир) в муниципальную собственность, в том числе посредством участия в долевом строительстве многоквартирного жилого дома в целях формирования муниципального специализированного жилищного фонда для предоставления в дальнейшем детям-сиротам и детям, оставшимся без попечения родителей, лицам из их числа, по договорам найма специализированных жилых помещений;</w:t>
            </w:r>
            <w:r>
              <w:rPr>
                <w:color w:val="000000"/>
                <w:sz w:val="28"/>
                <w:szCs w:val="28"/>
              </w:rPr>
              <w:br/>
              <w:t>2) в размере до 30 процентов суммы договора (муниципального контракта) - по остальным договорам (муниципальным контрактам), если иное не предусмотрено законодательством Российской Федерации;</w:t>
            </w:r>
            <w:r>
              <w:rPr>
                <w:color w:val="000000"/>
                <w:sz w:val="28"/>
                <w:szCs w:val="28"/>
              </w:rPr>
              <w:br/>
              <w:t xml:space="preserve">3) в размере до 50 процентов суммы муниципального контракта, заключенного на строительство объектов дошкольного и общего образования в рамках национального проекта "Демография" после согласования министерством строительства Самарской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 соответствующего авансирования в размере до 50 процентов за счет средств вышестоящих бюджетов.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3B38B" w14:textId="77777777" w:rsidR="00142841" w:rsidRDefault="00142841" w:rsidP="00CF5D5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99EA" w14:textId="77777777" w:rsidR="00142841" w:rsidRDefault="00142841" w:rsidP="00CF5D5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653F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при заключении договоров на оказание услуг перечислены авансовые платежи:</w:t>
            </w:r>
            <w:r>
              <w:rPr>
                <w:color w:val="000000"/>
                <w:sz w:val="28"/>
                <w:szCs w:val="28"/>
              </w:rPr>
              <w:br/>
              <w:t xml:space="preserve">   100% - На оказание услуг связи, на  подписку  печатных и электронных изданий,  и  их приобретение, на оплату по договорам обязательного страхование гражданской ответственности  заключены договора (муниципальные контракты)  с поставщиками: ООО "АДП-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color w:val="000000"/>
                <w:sz w:val="28"/>
                <w:szCs w:val="28"/>
              </w:rPr>
              <w:t>", УФПС Самарской области - филиал ФГУП "Почта России", АО "ОСК", ФИЛИАЛ АКЦИОНЕРНОГО ОБЩЕСТВА "ОБЪЕДИНЕННАЯ СТРАХОВАЯ КОМПАНИЯ".</w:t>
            </w:r>
            <w:r>
              <w:rPr>
                <w:color w:val="000000"/>
                <w:sz w:val="28"/>
                <w:szCs w:val="28"/>
              </w:rPr>
              <w:br/>
              <w:t xml:space="preserve">   30% - На  услуги связи, водоснабжения, энергоснабжения, поставку газа, проведение медицинского осмотра работников,   - заключены договора с поставщиками: ПАО "Самараэнерго",  ОАО ТЭК, ООО ВКС,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ПАО "Т Плюс", ООО "Газпром межрегионгаз Самара", ООО "Средневолжская газовая компания", АО "ПО КХ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Тольятти", АО "Почта России", ГБУЗ СО "ТГКП №1", ООО «Центр Медицинских Услуг».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076B" w14:textId="77777777" w:rsidR="00142841" w:rsidRDefault="00142841" w:rsidP="00CF5D5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A4C11" w14:textId="77777777" w:rsidR="00142841" w:rsidRDefault="00142841" w:rsidP="00CF5D5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0ADB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55DE" w14:textId="77777777" w:rsidR="00142841" w:rsidRDefault="00142841" w:rsidP="00CF5D5D">
            <w:pPr>
              <w:spacing w:line="1" w:lineRule="auto"/>
            </w:pPr>
          </w:p>
        </w:tc>
      </w:tr>
      <w:tr w:rsidR="00142841" w14:paraId="00998C5D" w14:textId="77777777" w:rsidTr="00CF5D5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5D9B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D5A9" w14:textId="77777777" w:rsidR="00142841" w:rsidRDefault="00142841" w:rsidP="00CF5D5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5968" w14:textId="77777777" w:rsidR="00142841" w:rsidRDefault="00142841" w:rsidP="00CF5D5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E0A4" w14:textId="77777777" w:rsidR="00142841" w:rsidRDefault="00142841" w:rsidP="00CF5D5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E925" w14:textId="77777777" w:rsidR="00142841" w:rsidRDefault="00142841" w:rsidP="00CF5D5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E3B1" w14:textId="77777777" w:rsidR="00142841" w:rsidRDefault="00142841" w:rsidP="00CF5D5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E06F" w14:textId="77777777" w:rsidR="00142841" w:rsidRDefault="00142841" w:rsidP="00CF5D5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C1B6" w14:textId="77777777" w:rsidR="00142841" w:rsidRDefault="00142841" w:rsidP="00CF5D5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5695" w14:textId="77777777" w:rsidR="00142841" w:rsidRDefault="00142841" w:rsidP="00CF5D5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6886" w14:textId="77777777" w:rsidR="00142841" w:rsidRDefault="00142841" w:rsidP="00CF5D5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A0B7" w14:textId="77777777" w:rsidR="00142841" w:rsidRDefault="00142841" w:rsidP="00CF5D5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63A0" w14:textId="77777777" w:rsidR="00142841" w:rsidRDefault="00142841" w:rsidP="00CF5D5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BAE1E" w14:textId="77777777" w:rsidR="00142841" w:rsidRDefault="00142841" w:rsidP="00CF5D5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8932" w14:textId="77777777" w:rsidR="00142841" w:rsidRDefault="00142841" w:rsidP="00CF5D5D">
            <w:pPr>
              <w:spacing w:line="1" w:lineRule="auto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03E7" w14:textId="77777777" w:rsidR="00142841" w:rsidRDefault="00142841" w:rsidP="00CF5D5D">
            <w:pPr>
              <w:spacing w:line="1" w:lineRule="auto"/>
            </w:pPr>
          </w:p>
        </w:tc>
      </w:tr>
    </w:tbl>
    <w:p w14:paraId="1DAA7E4A" w14:textId="77777777" w:rsidR="00142841" w:rsidRDefault="00142841" w:rsidP="00142841">
      <w:pPr>
        <w:sectPr w:rsidR="00142841" w:rsidSect="00B60495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14:paraId="30BBA0B2" w14:textId="77777777" w:rsidR="00142841" w:rsidRDefault="00142841" w:rsidP="00142841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142841" w14:paraId="15717CA9" w14:textId="77777777" w:rsidTr="00CF5D5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9A67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396B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B7D2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AB6A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B6DB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D5FD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0A01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7998" w14:textId="77777777" w:rsidR="00142841" w:rsidRDefault="00142841" w:rsidP="00CF5D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142841" w14:paraId="40BF38B7" w14:textId="77777777" w:rsidTr="00CF5D5D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1AF7" w14:textId="77777777" w:rsidR="00142841" w:rsidRDefault="00142841" w:rsidP="00CF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142841" w14:paraId="17507E3F" w14:textId="77777777" w:rsidTr="00CF5D5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AD29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A7DB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4B9D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8259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9901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7AD4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EB15" w14:textId="77777777" w:rsidR="00142841" w:rsidRDefault="00142841" w:rsidP="00CF5D5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7D30" w14:textId="77777777" w:rsidR="00142841" w:rsidRDefault="00142841" w:rsidP="00CF5D5D">
            <w:pPr>
              <w:spacing w:line="1" w:lineRule="auto"/>
              <w:jc w:val="center"/>
            </w:pPr>
          </w:p>
        </w:tc>
      </w:tr>
      <w:tr w:rsidR="00142841" w14:paraId="4DBBB1D0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7E845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4713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A3F5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142841" w14:paraId="2E53078F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612A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519D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C735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42841" w14:paraId="6929CADB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C17B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5EED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A2BB" w14:textId="77777777" w:rsidR="00142841" w:rsidRDefault="00142841" w:rsidP="00CF5D5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100 079,08 руб.: исполнение на сумму 8,9 тыс. руб., что составляет 99,12% от годового плана по доходам на 2023г. (9,0 тыс. руб.) Неисполнение 100% связанно с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тем,  что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данные поступления в доход от штрафов, неустоек и пеней точно предугадать невозможно; исполнение на сумму 664,0 тыс. руб., что составляет 86,91 % от годового плана по доходам на 2023г. (764,0 тыс. руб.) По данной классификации доходов, денежные средства поступают в доход бюджета в результате фактов возникновения страховых случаев. Данные поступления носят заявительный характер и точно предугадать доход невозможно; исполнение на сумму 68,0 тыс. руб., что составляет 94,43% от годового плана по доходам на 2023 г. (72,0 тыс. руб.) перечисление межбюджетных трансфертов в пределах сумм, необходимых для оплаты денежных обязательств по расходам получателей средств федерального бюджета.</w:t>
            </w:r>
          </w:p>
        </w:tc>
      </w:tr>
      <w:tr w:rsidR="00142841" w14:paraId="5B6FC3AE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1532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C646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6497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2841" w14:paraId="53AA00C6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C758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72B5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4745" w14:textId="77777777" w:rsidR="00142841" w:rsidRDefault="00142841" w:rsidP="00CF5D5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-10 оплата работ «по факту» на основании актов выполненных работ на сумму 117 811,41 руб.; -04 экономия, сложившаяся по результатам проведения конкурсных процедур на сумму 5 200,00 руб.</w:t>
            </w:r>
          </w:p>
        </w:tc>
      </w:tr>
      <w:tr w:rsidR="00142841" w14:paraId="324BFE2A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9C8C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исполнения текстовых статей закона (решения) о бюджете, касающихся приоритетных национальных проектов и имеющих отношение к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80EB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C450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2841" w14:paraId="5A5D218F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6794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принятии денежных обязательств сверх 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55D5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A7A4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2841" w14:paraId="4EAEEE12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42C4" w14:textId="77777777" w:rsidR="00142841" w:rsidRDefault="00142841" w:rsidP="00CF5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обобщенным данным об операциях по управлению остатками средств на едином счете соответствующего бюджета за отчетный период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2E8B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866E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2841" w14:paraId="5DA9EB0D" w14:textId="77777777" w:rsidTr="00CF5D5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06A7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ED8A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9BCE" w14:textId="77777777" w:rsidR="00142841" w:rsidRDefault="00142841" w:rsidP="00CF5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2841" w14:paraId="76004A78" w14:textId="77777777" w:rsidTr="00CF5D5D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3AEC" w14:textId="77777777" w:rsidR="00142841" w:rsidRDefault="00142841" w:rsidP="00CF5D5D">
            <w:pPr>
              <w:spacing w:line="1" w:lineRule="auto"/>
            </w:pPr>
          </w:p>
        </w:tc>
      </w:tr>
    </w:tbl>
    <w:p w14:paraId="0435DC87" w14:textId="77777777" w:rsidR="00142841" w:rsidRDefault="00142841" w:rsidP="00142841"/>
    <w:p w14:paraId="746AD14F" w14:textId="77777777" w:rsidR="00142841" w:rsidRDefault="00142841"/>
    <w:sectPr w:rsidR="00142841" w:rsidSect="00B60495">
      <w:headerReference w:type="default" r:id="rId11"/>
      <w:footerReference w:type="default" r:id="rId12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6087A" w14:textId="77777777" w:rsidR="00B60495" w:rsidRDefault="00B60495">
      <w:r>
        <w:separator/>
      </w:r>
    </w:p>
  </w:endnote>
  <w:endnote w:type="continuationSeparator" w:id="0">
    <w:p w14:paraId="7236F9E0" w14:textId="77777777" w:rsidR="00B60495" w:rsidRDefault="00B6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3600F" w14:paraId="1D3B5832" w14:textId="77777777">
      <w:trPr>
        <w:trHeight w:val="56"/>
      </w:trPr>
      <w:tc>
        <w:tcPr>
          <w:tcW w:w="10421" w:type="dxa"/>
        </w:tcPr>
        <w:p w14:paraId="11F5C961" w14:textId="77777777" w:rsidR="001A4171" w:rsidRDefault="001A417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3600F" w14:paraId="60655174" w14:textId="77777777">
      <w:trPr>
        <w:trHeight w:val="56"/>
      </w:trPr>
      <w:tc>
        <w:tcPr>
          <w:tcW w:w="10421" w:type="dxa"/>
        </w:tcPr>
        <w:p w14:paraId="6AB2975A" w14:textId="77777777" w:rsidR="001A4171" w:rsidRDefault="001A417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3600F" w14:paraId="06A8F06D" w14:textId="77777777">
      <w:trPr>
        <w:trHeight w:val="56"/>
      </w:trPr>
      <w:tc>
        <w:tcPr>
          <w:tcW w:w="10421" w:type="dxa"/>
        </w:tcPr>
        <w:p w14:paraId="59B4C2FB" w14:textId="77777777" w:rsidR="001A4171" w:rsidRDefault="001A417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33194" w14:textId="77777777" w:rsidR="00B60495" w:rsidRDefault="00B60495">
      <w:r>
        <w:separator/>
      </w:r>
    </w:p>
  </w:footnote>
  <w:footnote w:type="continuationSeparator" w:id="0">
    <w:p w14:paraId="7E5A1A44" w14:textId="77777777" w:rsidR="00B60495" w:rsidRDefault="00B6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3600F" w14:paraId="0D6C05A6" w14:textId="77777777">
      <w:trPr>
        <w:trHeight w:val="56"/>
      </w:trPr>
      <w:tc>
        <w:tcPr>
          <w:tcW w:w="10421" w:type="dxa"/>
        </w:tcPr>
        <w:p w14:paraId="2159CF22" w14:textId="77777777" w:rsidR="001A4171" w:rsidRDefault="001A417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3600F" w14:paraId="4EEF7901" w14:textId="77777777">
      <w:trPr>
        <w:trHeight w:val="56"/>
      </w:trPr>
      <w:tc>
        <w:tcPr>
          <w:tcW w:w="10421" w:type="dxa"/>
        </w:tcPr>
        <w:p w14:paraId="5DEC57C1" w14:textId="77777777" w:rsidR="001A4171" w:rsidRDefault="001A417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3600F" w14:paraId="03C2B1A9" w14:textId="77777777">
      <w:trPr>
        <w:trHeight w:val="56"/>
      </w:trPr>
      <w:tc>
        <w:tcPr>
          <w:tcW w:w="10421" w:type="dxa"/>
        </w:tcPr>
        <w:p w14:paraId="5E3DCBDC" w14:textId="77777777" w:rsidR="001A4171" w:rsidRDefault="001A417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41"/>
    <w:rsid w:val="00142841"/>
    <w:rsid w:val="001A4171"/>
    <w:rsid w:val="002048E0"/>
    <w:rsid w:val="003F3480"/>
    <w:rsid w:val="004B6237"/>
    <w:rsid w:val="00724F18"/>
    <w:rsid w:val="009B520E"/>
    <w:rsid w:val="00B24E50"/>
    <w:rsid w:val="00B50A93"/>
    <w:rsid w:val="00B60495"/>
    <w:rsid w:val="00BF2BE5"/>
    <w:rsid w:val="00C5221F"/>
    <w:rsid w:val="00CB521E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45CD"/>
  <w15:chartTrackingRefBased/>
  <w15:docId w15:val="{7D3E0D98-44A3-4928-A4CA-0B350E1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tg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7010</Words>
  <Characters>39960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Татьяна Владимировна</dc:creator>
  <cp:keywords/>
  <dc:description/>
  <cp:lastModifiedBy>Хохлова Татьяна Владимировна</cp:lastModifiedBy>
  <cp:revision>2</cp:revision>
  <dcterms:created xsi:type="dcterms:W3CDTF">2024-03-26T04:34:00Z</dcterms:created>
  <dcterms:modified xsi:type="dcterms:W3CDTF">2024-03-26T04:34:00Z</dcterms:modified>
</cp:coreProperties>
</file>